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6D8D9" w14:textId="77777777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2829D420" w14:textId="61FDD162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="009A63C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33F64">
        <w:rPr>
          <w:rFonts w:ascii="Arial" w:hAnsi="Arial" w:cs="Arial"/>
          <w:b/>
          <w:color w:val="auto"/>
          <w:sz w:val="24"/>
          <w:szCs w:val="24"/>
        </w:rPr>
        <w:t>2020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67BB9A8D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9FF2A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2505A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62610" w14:textId="77777777"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14:paraId="7888E6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111F6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F39CA" w14:textId="77777777" w:rsidR="00CA516B" w:rsidRPr="00141A92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41E2A9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F16179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51E92" w14:textId="77777777" w:rsidR="00CA516B" w:rsidRPr="006822BC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5C3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3A3B4E1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BFB5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5109E" w14:textId="77777777"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14:paraId="06665F0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2FE09D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89E1C" w14:textId="77777777" w:rsidR="00382046" w:rsidRPr="00382046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14:paraId="0EC1BF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596F7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216A1E5" w14:textId="77777777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7B69E0" w:rsidRPr="007B69E0" w14:paraId="029B6D47" w14:textId="77777777">
              <w:trPr>
                <w:trHeight w:val="70"/>
              </w:trPr>
              <w:tc>
                <w:tcPr>
                  <w:tcW w:w="0" w:type="auto"/>
                </w:tcPr>
                <w:p w14:paraId="54740973" w14:textId="30A6EB4B" w:rsidR="007B69E0" w:rsidRPr="007B69E0" w:rsidRDefault="007B69E0" w:rsidP="007B69E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594D8A5C" w14:textId="427BFBBC" w:rsidR="00CA516B" w:rsidRPr="00071D18" w:rsidRDefault="00DD33D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40">
              <w:rPr>
                <w:rFonts w:ascii="Arial" w:hAnsi="Arial" w:cs="Arial"/>
                <w:color w:val="171717" w:themeColor="background2" w:themeShade="1A"/>
                <w:sz w:val="18"/>
                <w:szCs w:val="18"/>
              </w:rPr>
              <w:t>21 130 025,35 PLN</w:t>
            </w:r>
          </w:p>
        </w:tc>
      </w:tr>
      <w:tr w:rsidR="00486D47" w:rsidRPr="002B50C0" w14:paraId="62D0EB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79CFB8" w14:textId="02D29375" w:rsidR="00486D47" w:rsidRPr="008A332F" w:rsidRDefault="00486D47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D33D0" w:rsidRPr="007B69E0" w14:paraId="1F8AFF72" w14:textId="77777777" w:rsidTr="00A140AA">
              <w:trPr>
                <w:trHeight w:val="70"/>
              </w:trPr>
              <w:tc>
                <w:tcPr>
                  <w:tcW w:w="0" w:type="auto"/>
                </w:tcPr>
                <w:p w14:paraId="656645A7" w14:textId="77777777" w:rsidR="00DD33D0" w:rsidRPr="007B69E0" w:rsidRDefault="00DD33D0" w:rsidP="00DD33D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2228EE6" w14:textId="0760159C" w:rsidR="00486D47" w:rsidRPr="00071D18" w:rsidRDefault="00DD33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1740">
              <w:rPr>
                <w:rFonts w:ascii="Arial" w:hAnsi="Arial" w:cs="Arial"/>
                <w:color w:val="171717" w:themeColor="background2" w:themeShade="1A"/>
                <w:sz w:val="18"/>
                <w:szCs w:val="18"/>
              </w:rPr>
              <w:t xml:space="preserve">21 130 025,35 PLN </w:t>
            </w:r>
          </w:p>
        </w:tc>
      </w:tr>
      <w:tr w:rsidR="00F67C3F" w:rsidRPr="00F67C3F" w14:paraId="44FDB3D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E79674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83B377" w14:textId="77777777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88F1B" w14:textId="3A61DF45"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>1.06.2017 -</w:t>
            </w:r>
            <w:r w:rsidR="00DD6C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6A1">
              <w:rPr>
                <w:rFonts w:ascii="Arial" w:hAnsi="Arial" w:cs="Arial"/>
                <w:sz w:val="18"/>
                <w:szCs w:val="18"/>
              </w:rPr>
              <w:t xml:space="preserve">31.05.2020 </w:t>
            </w:r>
          </w:p>
          <w:p w14:paraId="50E6E576" w14:textId="77777777"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3E9F083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0BCB984" w14:textId="77777777" w:rsidR="0072454C" w:rsidRDefault="0072454C" w:rsidP="008B1658">
      <w:pPr>
        <w:rPr>
          <w:sz w:val="18"/>
          <w:szCs w:val="20"/>
        </w:rPr>
      </w:pPr>
    </w:p>
    <w:p w14:paraId="7325D451" w14:textId="34FDC4EE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351661">
        <w:rPr>
          <w:sz w:val="18"/>
          <w:szCs w:val="20"/>
        </w:rPr>
        <w:t>u</w:t>
      </w:r>
      <w:r w:rsidR="008B1658">
        <w:rPr>
          <w:sz w:val="18"/>
          <w:szCs w:val="20"/>
        </w:rPr>
        <w:t>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0D4F1FB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838933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F7F6AF2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6368EB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60EFE2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960AB8A" w14:textId="77777777" w:rsidTr="00795AFA">
        <w:tc>
          <w:tcPr>
            <w:tcW w:w="2972" w:type="dxa"/>
          </w:tcPr>
          <w:p w14:paraId="2D750458" w14:textId="223BDAAC" w:rsidR="00382046" w:rsidRPr="002B29D7" w:rsidRDefault="00DD33D0" w:rsidP="0067362A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sz w:val="18"/>
                <w:szCs w:val="18"/>
              </w:rPr>
              <w:t>97,22</w:t>
            </w:r>
            <w:r w:rsidR="00AC1FBE">
              <w:rPr>
                <w:sz w:val="18"/>
                <w:szCs w:val="18"/>
              </w:rPr>
              <w:t xml:space="preserve"> %</w:t>
            </w:r>
          </w:p>
        </w:tc>
        <w:tc>
          <w:tcPr>
            <w:tcW w:w="3260" w:type="dxa"/>
          </w:tcPr>
          <w:p w14:paraId="4C550F6F" w14:textId="555621C8" w:rsidR="00AC1FBE" w:rsidRDefault="0084059D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85,23</w:t>
            </w:r>
            <w:r w:rsidR="00AC1FBE">
              <w:rPr>
                <w:sz w:val="18"/>
                <w:szCs w:val="18"/>
              </w:rPr>
              <w:t xml:space="preserve"> % </w:t>
            </w:r>
          </w:p>
          <w:p w14:paraId="763DE425" w14:textId="516E615E" w:rsidR="00AC1FBE" w:rsidRDefault="0084059D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38,03 </w:t>
            </w:r>
            <w:r w:rsidR="00AC1FBE">
              <w:rPr>
                <w:sz w:val="18"/>
                <w:szCs w:val="18"/>
              </w:rPr>
              <w:t>%</w:t>
            </w:r>
          </w:p>
          <w:p w14:paraId="3F6662F1" w14:textId="0CF37480" w:rsidR="00AC1FBE" w:rsidRDefault="0084059D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85,23</w:t>
            </w:r>
            <w:r w:rsidR="00AC1FBE">
              <w:rPr>
                <w:sz w:val="18"/>
                <w:szCs w:val="18"/>
              </w:rPr>
              <w:t xml:space="preserve"> %</w:t>
            </w:r>
          </w:p>
          <w:p w14:paraId="7F1A78EB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EB214A1" w14:textId="77777777" w:rsidR="00AC1FBE" w:rsidRDefault="00AC1FBE" w:rsidP="00AC1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77,92 % </w:t>
            </w:r>
          </w:p>
          <w:p w14:paraId="028A2838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0935A0A6" w14:textId="77777777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3CA1B68C" w14:textId="65ABF04F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2E4F93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539A37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4100CB0D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F403EE7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BA12B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736DA8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0F6D5B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87238F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6A0406F" w14:textId="77777777" w:rsidTr="006B5117">
        <w:tc>
          <w:tcPr>
            <w:tcW w:w="2127" w:type="dxa"/>
          </w:tcPr>
          <w:p w14:paraId="567A91B4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7349A61" w14:textId="1CBB28C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Zamieszczenie API do</w:t>
            </w:r>
            <w:r w:rsidR="00BF5ACB">
              <w:rPr>
                <w:color w:val="000000" w:themeColor="text1"/>
                <w:sz w:val="18"/>
                <w:szCs w:val="20"/>
              </w:rPr>
              <w:t xml:space="preserve"> 9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 baz na dane.gov.pl </w:t>
            </w:r>
          </w:p>
          <w:p w14:paraId="78135BF8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BC260B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20C2BAB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7F41764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A3209C1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CAD1452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6F1542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35FEC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97C3BB5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E0B951A" w14:textId="77777777"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63D426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9CE7724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BD88E8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239E42D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F37F85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6FDDBE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9AA65A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ECACDB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AFFF3D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EDF8B0B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005168">
              <w:rPr>
                <w:color w:val="000000" w:themeColor="text1"/>
                <w:sz w:val="18"/>
                <w:szCs w:val="20"/>
              </w:rPr>
              <w:t>Uruchomienie produkcyjne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rozbudowanego portalu danepubliczne.gov.pl</w:t>
            </w:r>
          </w:p>
          <w:p w14:paraId="10E61491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5AFC3FC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2FE751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DDAA7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E1BE9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F5AAB5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6CBAD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A48C2D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66974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CC3FED9" w14:textId="77777777"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EA73E6" w14:textId="41F2DAE3"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F76DE">
              <w:rPr>
                <w:color w:val="000000" w:themeColor="text1"/>
                <w:sz w:val="18"/>
                <w:szCs w:val="20"/>
              </w:rPr>
              <w:t>Dodanie treści do warstwy edukacyjnej i społecznościowej portalu</w:t>
            </w:r>
          </w:p>
          <w:p w14:paraId="6EC75AD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0F492D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1B3214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96ACE61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E5B7FF1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6A12D8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61B905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403B269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CE02576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12194" w14:textId="2906A55B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2C41CA76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300E45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444AC0F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98975D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979BFE0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1EC2ABE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4960E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169F22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E3BDCF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CF57BC0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994E8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465E8A9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249B528C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5BA77D8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74D626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6DDF9D5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F76DE">
              <w:rPr>
                <w:color w:val="000000" w:themeColor="text1"/>
                <w:sz w:val="18"/>
                <w:szCs w:val="20"/>
              </w:rPr>
              <w:lastRenderedPageBreak/>
              <w:t>Zakończenie działań promocyjnych</w:t>
            </w:r>
          </w:p>
          <w:p w14:paraId="1CC6335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AABD3E9" w14:textId="77777777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8CE7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434C1E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20CBD858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7375959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316B79B5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0328EE72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4504F26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7F94671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101B2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1EF0A5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A6CEE5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000830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EAFAB50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44BFAFE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E8E7CC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F114AF5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5758EA4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19EE0A50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C0E65A5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F5E48D4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F1CB758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14:paraId="1BB28C01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BB1BE75" w14:textId="77777777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CE45BE7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A69F1C" w14:textId="77777777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7632C81D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53403A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7D3F71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F78BB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B8F2F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4E63D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5A2FF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EDE06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C7B86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BFAE69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6E1E02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281E7B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A2A7F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12F58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619EAC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10FE87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017D46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2FC66A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FDB9E22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8E6BEAB" w14:textId="77777777" w:rsidR="00DD6C22" w:rsidRDefault="00DD6C22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4A29593" w14:textId="77777777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4C510649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B6B0F3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336BA6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0B5A1C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0B833E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BB6AD5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A2528A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E94F85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07F6A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08E1E7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7328A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E91BD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59ED5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BF392E7" w14:textId="0B1FF765" w:rsidR="008D7D73" w:rsidRDefault="0000516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04.2020</w:t>
            </w:r>
          </w:p>
          <w:p w14:paraId="3A576F6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937DE1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1B42BE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6DC399B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9ACD33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09E601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D3BC6C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CF0512C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67124D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35DDA0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084322B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5980D5" w14:textId="77777777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4FB050F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1F92B6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84C2EA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DA7858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EBA6E5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28322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1922F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5F2FE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BE7AE8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DC7A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616CC6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969B41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1CEF6B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1BDB85C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A6E43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08E57D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CDAE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20AB2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925EB0" w14:textId="7777777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02.2020</w:t>
            </w:r>
          </w:p>
        </w:tc>
        <w:tc>
          <w:tcPr>
            <w:tcW w:w="1914" w:type="dxa"/>
          </w:tcPr>
          <w:p w14:paraId="2147361F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3F405DD" w14:textId="1F013FFE" w:rsidR="00432547" w:rsidRDefault="00DD6C22" w:rsidP="00EF1986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11.2019</w:t>
            </w:r>
          </w:p>
          <w:p w14:paraId="0391CC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B54ECF9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413B165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895E97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FE73B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EAAEBE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E29F4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B756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324589F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468A201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D1BDCD4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0F36A0A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537BDE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67C15B7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59D111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DB64CDE" w14:textId="77777777"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5AFDCB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6B3C3F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9724A0D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4145161" w14:textId="7AE2F553" w:rsidR="00CE1C4F" w:rsidRPr="00005168" w:rsidRDefault="00005168" w:rsidP="00630B12">
            <w:pPr>
              <w:spacing w:before="240"/>
              <w:rPr>
                <w:rFonts w:cstheme="minorHAnsi"/>
                <w:sz w:val="18"/>
              </w:rPr>
            </w:pPr>
            <w:r w:rsidRPr="00005168">
              <w:rPr>
                <w:rFonts w:cstheme="minorHAnsi"/>
                <w:sz w:val="18"/>
              </w:rPr>
              <w:t>09.2018</w:t>
            </w:r>
          </w:p>
          <w:p w14:paraId="7A82D6F8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87DD50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E62BEA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397E64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1B274C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35F35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EC4572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5015C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46096B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DB673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A12F462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43619D0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8FB9A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AFBBF7" w14:textId="77777777" w:rsidR="00C4506D" w:rsidRDefault="00C4506D" w:rsidP="008B749A">
            <w:pPr>
              <w:spacing w:before="160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04.2020</w:t>
            </w:r>
          </w:p>
          <w:p w14:paraId="6EC551C1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BEC17F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0C63223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603E15E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A857CCE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2CE10011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4ECC61F8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11D7401D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22DE5439" w14:textId="77777777" w:rsidR="00CE1C4F" w:rsidRDefault="00CE1C4F" w:rsidP="008B749A">
            <w:pPr>
              <w:spacing w:before="160"/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4651D2F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1739C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2105E49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FDEBF0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5132B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613C98F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28517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5C8F96D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1585DE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6BD7183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CB87C96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908A1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E89260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3E84FE09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F128626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4B12257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7F48D6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FF5D4C4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00D8684" w14:textId="6E194D4B" w:rsidR="00733F64" w:rsidRPr="00141A92" w:rsidRDefault="00733F64" w:rsidP="00EF1986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04.2020</w:t>
            </w:r>
          </w:p>
        </w:tc>
        <w:tc>
          <w:tcPr>
            <w:tcW w:w="2802" w:type="dxa"/>
          </w:tcPr>
          <w:p w14:paraId="01EE55B7" w14:textId="60028BA3" w:rsidR="00284D41" w:rsidRDefault="00A16C12" w:rsidP="00284D4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Osiągnięty.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</w:t>
            </w:r>
            <w:r w:rsidR="00284D41">
              <w:rPr>
                <w:rFonts w:cstheme="minorHAnsi"/>
                <w:color w:val="000000"/>
                <w:sz w:val="18"/>
                <w:szCs w:val="18"/>
              </w:rPr>
              <w:t xml:space="preserve">GUS BDL </w:t>
            </w:r>
          </w:p>
          <w:p w14:paraId="2F5B0634" w14:textId="1B50D3E3" w:rsidR="00432547" w:rsidRDefault="00284D41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oraz NFZ Terminy Leczenia. Pozostałe bazy tj. </w:t>
            </w:r>
            <w:r w:rsidR="00255049">
              <w:rPr>
                <w:color w:val="000000" w:themeColor="text1"/>
                <w:sz w:val="18"/>
                <w:szCs w:val="20"/>
              </w:rPr>
              <w:t xml:space="preserve">MC CEPIK, </w:t>
            </w:r>
            <w:r>
              <w:rPr>
                <w:color w:val="000000" w:themeColor="text1"/>
                <w:sz w:val="18"/>
                <w:szCs w:val="20"/>
              </w:rPr>
              <w:t>MF</w:t>
            </w:r>
            <w:r w:rsidDel="00284D41">
              <w:rPr>
                <w:color w:val="000000" w:themeColor="text1"/>
                <w:sz w:val="18"/>
                <w:szCs w:val="20"/>
              </w:rPr>
              <w:t xml:space="preserve"> </w:t>
            </w:r>
            <w:r w:rsidR="000B013D">
              <w:rPr>
                <w:color w:val="000000" w:themeColor="text1"/>
                <w:sz w:val="18"/>
                <w:szCs w:val="20"/>
              </w:rPr>
              <w:t>BeSTi@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 xml:space="preserve"> i 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Statystyki NFZ - </w:t>
            </w:r>
            <w:r w:rsidR="004C7129">
              <w:rPr>
                <w:color w:val="000000" w:themeColor="text1"/>
                <w:sz w:val="18"/>
                <w:szCs w:val="20"/>
              </w:rPr>
              <w:t>Refundacja Apteczna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, </w:t>
            </w:r>
            <w:r w:rsidR="00B60F16">
              <w:rPr>
                <w:color w:val="000000" w:themeColor="text1"/>
                <w:sz w:val="18"/>
                <w:szCs w:val="20"/>
              </w:rPr>
              <w:t>Świadczenia</w:t>
            </w:r>
            <w:r w:rsidR="00351661">
              <w:rPr>
                <w:color w:val="000000" w:themeColor="text1"/>
                <w:sz w:val="18"/>
                <w:szCs w:val="20"/>
              </w:rPr>
              <w:t>,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 Leki</w:t>
            </w:r>
            <w:r w:rsidR="00351661">
              <w:rPr>
                <w:color w:val="000000" w:themeColor="text1"/>
                <w:sz w:val="18"/>
                <w:szCs w:val="20"/>
              </w:rPr>
              <w:t xml:space="preserve"> oraz Umowy</w:t>
            </w:r>
            <w:r>
              <w:rPr>
                <w:color w:val="000000" w:themeColor="text1"/>
                <w:sz w:val="18"/>
                <w:szCs w:val="20"/>
              </w:rPr>
              <w:t xml:space="preserve"> zostały udostępnione </w:t>
            </w:r>
            <w:r>
              <w:rPr>
                <w:color w:val="000000" w:themeColor="text1"/>
                <w:sz w:val="18"/>
                <w:szCs w:val="20"/>
              </w:rPr>
              <w:lastRenderedPageBreak/>
              <w:t>zgodnie z informacją zawartą w pkt 5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</w:t>
            </w:r>
            <w:r w:rsidR="00351661">
              <w:rPr>
                <w:color w:val="000000" w:themeColor="text1"/>
                <w:sz w:val="18"/>
                <w:szCs w:val="20"/>
              </w:rPr>
              <w:t>N</w:t>
            </w:r>
            <w:r w:rsidR="000B013D">
              <w:rPr>
                <w:color w:val="000000" w:themeColor="text1"/>
                <w:sz w:val="18"/>
                <w:szCs w:val="20"/>
              </w:rPr>
              <w:t>ie zosta</w:t>
            </w:r>
            <w:r w:rsidR="00351661">
              <w:rPr>
                <w:color w:val="000000" w:themeColor="text1"/>
                <w:sz w:val="18"/>
                <w:szCs w:val="20"/>
              </w:rPr>
              <w:t>ł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przekroczony termin krytyczny realizacji kamienia milowego określony w WoD. Opóźnienie NFZ </w:t>
            </w:r>
            <w:r w:rsidR="004C7129">
              <w:rPr>
                <w:color w:val="000000" w:themeColor="text1"/>
                <w:sz w:val="18"/>
                <w:szCs w:val="20"/>
              </w:rPr>
              <w:t xml:space="preserve">spowodowane </w:t>
            </w:r>
            <w:r w:rsidR="00733F64">
              <w:rPr>
                <w:color w:val="000000" w:themeColor="text1"/>
                <w:sz w:val="18"/>
                <w:szCs w:val="20"/>
              </w:rPr>
              <w:t xml:space="preserve">było 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>danych (w związku ze zmianami prawnymi), a w przypadku MC - przedłużającymi się pracami nad CEPiK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ryzyk)</w:t>
            </w:r>
          </w:p>
          <w:p w14:paraId="5209BFA0" w14:textId="77777777" w:rsidR="006638E3" w:rsidRDefault="006638E3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5B093996" w14:textId="77777777" w:rsidR="00A01382" w:rsidRDefault="00A01382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BF30EE1" w14:textId="77777777" w:rsidR="00F14A5A" w:rsidRDefault="00F14A5A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259E41FF" w14:textId="77777777" w:rsidR="00A15290" w:rsidRDefault="00A15290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68E89FC" w14:textId="6D297CF3" w:rsidR="007846EB" w:rsidRDefault="00005168" w:rsidP="007846E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Osiągnięty</w:t>
            </w:r>
          </w:p>
          <w:p w14:paraId="25503D8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55014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21E616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28B5BC6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4C8CF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C928B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62AC813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4A36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0A5B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75CD8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5A553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84CA8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66D289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E9CE68" w14:textId="2794A9EF" w:rsidR="00005168" w:rsidRDefault="00C4506D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Osiągnięty</w:t>
            </w:r>
            <w:r w:rsidDel="00C4506D">
              <w:rPr>
                <w:color w:val="000000" w:themeColor="text1"/>
                <w:sz w:val="18"/>
                <w:szCs w:val="20"/>
              </w:rPr>
              <w:t xml:space="preserve"> </w:t>
            </w:r>
          </w:p>
          <w:p w14:paraId="130B8AD3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D97780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DCA41D6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4CB4DD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BE7AFD6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17BCC1C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EE51BB9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CDB3D74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CA7BB9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914AB04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ED17ACA" w14:textId="77777777" w:rsidR="00442FC8" w:rsidRDefault="00442FC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01B1F6" w14:textId="29C1A3FD" w:rsidR="006B5117" w:rsidRPr="00EF1986" w:rsidRDefault="003C5BB9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Osiągnięty</w:t>
            </w:r>
          </w:p>
          <w:p w14:paraId="4B150E8C" w14:textId="54C11681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Opóźnienie spowodowane</w:t>
            </w:r>
            <w:r w:rsidR="00733F64">
              <w:rPr>
                <w:color w:val="000000" w:themeColor="text1"/>
                <w:sz w:val="18"/>
                <w:szCs w:val="20"/>
              </w:rPr>
              <w:t xml:space="preserve"> było</w:t>
            </w:r>
            <w:r>
              <w:rPr>
                <w:color w:val="000000" w:themeColor="text1"/>
                <w:sz w:val="18"/>
                <w:szCs w:val="20"/>
              </w:rPr>
              <w:t xml:space="preserve">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733F64">
              <w:rPr>
                <w:color w:val="000000" w:themeColor="text1"/>
                <w:sz w:val="18"/>
                <w:szCs w:val="20"/>
              </w:rPr>
              <w:t>i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terminu miały również wpływ powszechne konsultacje publiczne i bardzo duże zainteresowanie zgłaszaniem uwag. Termin krytyczny nie zosta</w:t>
            </w:r>
            <w:r w:rsidR="00C23C0F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</w:p>
          <w:p w14:paraId="01DBE515" w14:textId="77777777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F01065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B1F49E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0D0240F8" w14:textId="5EEFA050" w:rsidR="00D145A8" w:rsidRDefault="003C5BB9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</w:p>
          <w:p w14:paraId="2A832F67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5BE5CEF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300007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21F6FB5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CC980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A7C1E39" w14:textId="5D36A344" w:rsidR="00432547" w:rsidRPr="00BA36A1" w:rsidRDefault="00733F64" w:rsidP="00733F6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Osi</w:t>
            </w:r>
            <w:r w:rsidR="00603BE0">
              <w:rPr>
                <w:rFonts w:ascii="Calibri" w:hAnsi="Calibri" w:cs="Calibri"/>
                <w:sz w:val="18"/>
                <w:szCs w:val="18"/>
              </w:rPr>
              <w:t>ą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gnięty. </w:t>
            </w:r>
            <w:r>
              <w:rPr>
                <w:color w:val="000000" w:themeColor="text1"/>
                <w:sz w:val="18"/>
                <w:szCs w:val="20"/>
              </w:rPr>
              <w:t xml:space="preserve">Nie został przekroczony termin krytyczny realizacji kamienia milowego określony w WoD.  </w:t>
            </w:r>
            <w:r w:rsidR="00B32214">
              <w:rPr>
                <w:color w:val="000000" w:themeColor="text1"/>
                <w:sz w:val="18"/>
                <w:szCs w:val="20"/>
              </w:rPr>
              <w:t>Opóźnienie spowodowane unieważnieniem postępowania na realizację kampanii w Internecie oraz</w:t>
            </w:r>
            <w:r w:rsidR="00E353DF">
              <w:rPr>
                <w:color w:val="000000" w:themeColor="text1"/>
                <w:sz w:val="18"/>
                <w:szCs w:val="20"/>
              </w:rPr>
              <w:t xml:space="preserve"> koniecznością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przeprowadzeni</w:t>
            </w:r>
            <w:r w:rsidR="00E353DF">
              <w:rPr>
                <w:color w:val="000000" w:themeColor="text1"/>
                <w:sz w:val="18"/>
                <w:szCs w:val="20"/>
              </w:rPr>
              <w:t>a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jej </w:t>
            </w:r>
            <w:r w:rsidR="00E353DF">
              <w:rPr>
                <w:color w:val="000000" w:themeColor="text1"/>
                <w:sz w:val="18"/>
                <w:szCs w:val="20"/>
              </w:rPr>
              <w:t>przez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zes</w:t>
            </w:r>
            <w:r w:rsidR="00E353DF">
              <w:rPr>
                <w:color w:val="000000" w:themeColor="text1"/>
                <w:sz w:val="18"/>
                <w:szCs w:val="20"/>
              </w:rPr>
              <w:t>pół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projektow</w:t>
            </w:r>
            <w:r w:rsidR="00E353DF">
              <w:rPr>
                <w:color w:val="000000" w:themeColor="text1"/>
                <w:sz w:val="18"/>
                <w:szCs w:val="20"/>
              </w:rPr>
              <w:t>y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. </w:t>
            </w:r>
          </w:p>
        </w:tc>
      </w:tr>
    </w:tbl>
    <w:p w14:paraId="5FE3ABEC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C47540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BECAD1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76F5B7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614FD0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E3B1D9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CEA872B" w14:textId="031BFD58" w:rsidR="00047D9D" w:rsidRPr="00141A92" w:rsidRDefault="00A371B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C502C4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ABF6759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22C6EFC" w14:textId="77777777" w:rsidTr="004C632F">
        <w:trPr>
          <w:trHeight w:val="1072"/>
        </w:trPr>
        <w:tc>
          <w:tcPr>
            <w:tcW w:w="2545" w:type="dxa"/>
          </w:tcPr>
          <w:p w14:paraId="31B8B9C0" w14:textId="77777777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16BABA4B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148983EC" w14:textId="77777777" w:rsidR="000D5345" w:rsidRDefault="000D5345" w:rsidP="006A60AA">
            <w:pPr>
              <w:rPr>
                <w:sz w:val="18"/>
                <w:szCs w:val="20"/>
              </w:rPr>
            </w:pPr>
          </w:p>
          <w:p w14:paraId="7A96C2CE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04BC6362" w14:textId="7777777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A3D5488" w14:textId="77777777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2DE0CC82" w14:textId="77777777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24126EAB" w14:textId="77777777" w:rsidR="009F5B24" w:rsidRPr="00E008E1" w:rsidRDefault="00255049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6032B62" w14:textId="77777777" w:rsidTr="00047D9D">
        <w:tc>
          <w:tcPr>
            <w:tcW w:w="2545" w:type="dxa"/>
          </w:tcPr>
          <w:p w14:paraId="2DAAA3B9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657B286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D6868A3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59832AA0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18072E3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685CC80" w14:textId="1DCD7E1E" w:rsidR="00DD6C22" w:rsidRPr="00E008E1" w:rsidRDefault="00BA347A">
            <w:pPr>
              <w:rPr>
                <w:sz w:val="18"/>
                <w:szCs w:val="20"/>
              </w:rPr>
            </w:pPr>
            <w:r w:rsidRPr="00BA347A">
              <w:rPr>
                <w:sz w:val="18"/>
                <w:szCs w:val="20"/>
              </w:rPr>
              <w:t>6 507</w:t>
            </w:r>
          </w:p>
        </w:tc>
      </w:tr>
      <w:tr w:rsidR="0072454C" w:rsidRPr="002B50C0" w14:paraId="20CCB129" w14:textId="77777777" w:rsidTr="00047D9D">
        <w:tc>
          <w:tcPr>
            <w:tcW w:w="2545" w:type="dxa"/>
          </w:tcPr>
          <w:p w14:paraId="32A4231F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E431E7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65B5C5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9F30F69" w14:textId="77777777" w:rsidR="00947606" w:rsidRPr="003F4A20" w:rsidRDefault="00947606" w:rsidP="006A60AA">
            <w:pPr>
              <w:rPr>
                <w:sz w:val="18"/>
                <w:szCs w:val="20"/>
              </w:rPr>
            </w:pPr>
          </w:p>
          <w:p w14:paraId="0CA30EC2" w14:textId="023357EC" w:rsidR="0072454C" w:rsidRPr="003F4A20" w:rsidRDefault="00733F64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6679D342" w14:textId="77777777" w:rsidR="00947606" w:rsidRPr="003F4A20" w:rsidRDefault="00947606" w:rsidP="0072454C">
            <w:pPr>
              <w:rPr>
                <w:sz w:val="18"/>
                <w:szCs w:val="20"/>
              </w:rPr>
            </w:pPr>
          </w:p>
          <w:p w14:paraId="6AAA8050" w14:textId="77777777" w:rsidR="0072454C" w:rsidRPr="003F4A20" w:rsidRDefault="00786B42" w:rsidP="0072454C">
            <w:pPr>
              <w:rPr>
                <w:sz w:val="18"/>
                <w:szCs w:val="20"/>
              </w:rPr>
            </w:pPr>
            <w:r w:rsidRPr="003F4A20">
              <w:rPr>
                <w:sz w:val="18"/>
                <w:szCs w:val="20"/>
              </w:rPr>
              <w:t>03-2019</w:t>
            </w:r>
          </w:p>
          <w:p w14:paraId="2A096823" w14:textId="77777777" w:rsidR="0072454C" w:rsidRPr="003F4A20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45ECCFD8" w14:textId="77777777" w:rsidR="00947606" w:rsidRPr="003F4A20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5F3574BF" w14:textId="268D5CF6" w:rsidR="0072454C" w:rsidRPr="003F4A20" w:rsidRDefault="00E20C50" w:rsidP="00733F64">
            <w:pPr>
              <w:jc w:val="both"/>
              <w:rPr>
                <w:sz w:val="18"/>
                <w:szCs w:val="20"/>
              </w:rPr>
            </w:pPr>
            <w:r w:rsidRPr="003F4A20">
              <w:rPr>
                <w:sz w:val="18"/>
                <w:szCs w:val="20"/>
              </w:rPr>
              <w:t xml:space="preserve">10 </w:t>
            </w:r>
          </w:p>
        </w:tc>
      </w:tr>
      <w:tr w:rsidR="0072454C" w:rsidRPr="002B50C0" w14:paraId="2C066CE6" w14:textId="77777777" w:rsidTr="00047D9D">
        <w:tc>
          <w:tcPr>
            <w:tcW w:w="2545" w:type="dxa"/>
          </w:tcPr>
          <w:p w14:paraId="67B5295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BFFD855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11AF3A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202C934" w14:textId="77777777" w:rsidR="00947606" w:rsidRPr="00952E7B" w:rsidRDefault="00947606" w:rsidP="006A60AA">
            <w:pPr>
              <w:rPr>
                <w:sz w:val="18"/>
                <w:szCs w:val="20"/>
              </w:rPr>
            </w:pPr>
          </w:p>
          <w:p w14:paraId="4FEDA0D0" w14:textId="18340647" w:rsidR="0072454C" w:rsidRPr="00952E7B" w:rsidRDefault="00733F64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6A3F2BFE" w14:textId="77777777" w:rsidR="00947606" w:rsidRPr="00952E7B" w:rsidRDefault="00947606" w:rsidP="0072454C">
            <w:pPr>
              <w:rPr>
                <w:sz w:val="18"/>
                <w:szCs w:val="20"/>
              </w:rPr>
            </w:pPr>
          </w:p>
          <w:p w14:paraId="1487A6B6" w14:textId="77777777" w:rsidR="0072454C" w:rsidRPr="00952E7B" w:rsidRDefault="00786B42" w:rsidP="0072454C">
            <w:pPr>
              <w:rPr>
                <w:sz w:val="18"/>
                <w:szCs w:val="20"/>
              </w:rPr>
            </w:pPr>
            <w:r w:rsidRPr="00952E7B">
              <w:rPr>
                <w:sz w:val="18"/>
                <w:szCs w:val="20"/>
              </w:rPr>
              <w:t>03-2019</w:t>
            </w:r>
          </w:p>
          <w:p w14:paraId="33135C20" w14:textId="77777777" w:rsidR="0072454C" w:rsidRPr="00952E7B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8C20076" w14:textId="77777777" w:rsidR="00947606" w:rsidRPr="00952E7B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15985143" w14:textId="165F78ED" w:rsidR="00947606" w:rsidRPr="00952E7B" w:rsidRDefault="00E20C50" w:rsidP="00947606">
            <w:pPr>
              <w:jc w:val="both"/>
              <w:rPr>
                <w:sz w:val="18"/>
                <w:szCs w:val="20"/>
              </w:rPr>
            </w:pPr>
            <w:r w:rsidRPr="00952E7B">
              <w:rPr>
                <w:sz w:val="18"/>
                <w:szCs w:val="20"/>
              </w:rPr>
              <w:t>7</w:t>
            </w:r>
          </w:p>
          <w:p w14:paraId="0F723921" w14:textId="77777777" w:rsidR="0072454C" w:rsidRPr="00952E7B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2E832510" w14:textId="77777777" w:rsidTr="00E20C50">
        <w:tc>
          <w:tcPr>
            <w:tcW w:w="2545" w:type="dxa"/>
            <w:shd w:val="clear" w:color="auto" w:fill="auto"/>
          </w:tcPr>
          <w:p w14:paraId="0D8C791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E20C50">
              <w:rPr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610E3069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786409C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0D8FFA0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0FD3643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3BB913BC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36E724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434E33B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7A388A98" w14:textId="6F6C0423" w:rsidR="00DD6C22" w:rsidRDefault="00DD6C22" w:rsidP="002E5388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 </w:t>
            </w:r>
            <w:r w:rsidR="00BA347A" w:rsidRPr="00BA347A">
              <w:rPr>
                <w:sz w:val="18"/>
                <w:szCs w:val="20"/>
              </w:rPr>
              <w:t xml:space="preserve">171 157 931  </w:t>
            </w:r>
          </w:p>
          <w:p w14:paraId="2A237D1A" w14:textId="71BEBC21" w:rsidR="00BF033F" w:rsidRPr="00BA36A1" w:rsidRDefault="00BF033F" w:rsidP="00A25C05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Wskaźnik został znacząco przekroczony gdyż prognozując zainteresowanie wykorzystaniem baz danych nie założono tak dużego zainteresowania użytkowników. Tym bardziej, że dostęp do danych przez API  jest </w:t>
            </w:r>
            <w:r w:rsidR="00A25C05">
              <w:rPr>
                <w:sz w:val="18"/>
                <w:szCs w:val="20"/>
              </w:rPr>
              <w:t xml:space="preserve">przeznaczony przede wszystkim dla </w:t>
            </w:r>
            <w:r w:rsidR="00E20C50">
              <w:rPr>
                <w:sz w:val="18"/>
                <w:szCs w:val="20"/>
              </w:rPr>
              <w:t>użytkowników</w:t>
            </w:r>
            <w:r>
              <w:rPr>
                <w:sz w:val="18"/>
                <w:szCs w:val="20"/>
              </w:rPr>
              <w:t xml:space="preserve"> zaawansowanych </w:t>
            </w:r>
            <w:r w:rsidR="00A25C05">
              <w:rPr>
                <w:sz w:val="18"/>
                <w:szCs w:val="20"/>
              </w:rPr>
              <w:t>z</w:t>
            </w:r>
            <w:r>
              <w:rPr>
                <w:sz w:val="18"/>
                <w:szCs w:val="20"/>
              </w:rPr>
              <w:t xml:space="preserve"> rynku IT. </w:t>
            </w:r>
          </w:p>
        </w:tc>
      </w:tr>
      <w:tr w:rsidR="0072454C" w:rsidRPr="002B50C0" w14:paraId="45C6BA09" w14:textId="77777777" w:rsidTr="00047D9D">
        <w:tc>
          <w:tcPr>
            <w:tcW w:w="2545" w:type="dxa"/>
          </w:tcPr>
          <w:p w14:paraId="7831AFC0" w14:textId="77777777" w:rsidR="0072454C" w:rsidRPr="0072454C" w:rsidRDefault="0072454C" w:rsidP="00C10D5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 xml:space="preserve">Rozmiar udostępnionych on-line informacji sektora publicznego, wartość docelowa: 0,04 TB, wartość na koniec kwartału: </w:t>
            </w:r>
            <w:r w:rsidR="007651C1">
              <w:rPr>
                <w:sz w:val="18"/>
                <w:szCs w:val="20"/>
              </w:rPr>
              <w:t xml:space="preserve"> 0,20</w:t>
            </w:r>
            <w:r w:rsidR="00AD7F2E">
              <w:rPr>
                <w:sz w:val="18"/>
                <w:szCs w:val="20"/>
              </w:rPr>
              <w:t xml:space="preserve"> </w:t>
            </w:r>
            <w:r w:rsidRPr="0072454C">
              <w:rPr>
                <w:sz w:val="18"/>
                <w:szCs w:val="20"/>
              </w:rPr>
              <w:t>TB. Przewidywany rok realizacji: 2020.</w:t>
            </w:r>
          </w:p>
        </w:tc>
        <w:tc>
          <w:tcPr>
            <w:tcW w:w="1278" w:type="dxa"/>
          </w:tcPr>
          <w:p w14:paraId="253049E5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488F9475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73F242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5C5B736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3B66A124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B40A570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2A179ED8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67358056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A89421B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4EB9B7A3" w14:textId="1DE7983F" w:rsidR="0072454C" w:rsidRPr="00BA36A1" w:rsidRDefault="004C632F" w:rsidP="00DF76D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</w:t>
            </w:r>
            <w:r w:rsidR="00BA347A">
              <w:rPr>
                <w:sz w:val="18"/>
                <w:szCs w:val="20"/>
              </w:rPr>
              <w:t>89</w:t>
            </w:r>
          </w:p>
        </w:tc>
      </w:tr>
    </w:tbl>
    <w:p w14:paraId="73DBD298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0819AB7F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32AFD9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34E705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338196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32C0C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  <w:bookmarkStart w:id="1" w:name="_GoBack"/>
        <w:bookmarkEnd w:id="1"/>
      </w:tr>
      <w:tr w:rsidR="007D38BD" w:rsidRPr="002B50C0" w14:paraId="580BE0E5" w14:textId="77777777" w:rsidTr="00517F12">
        <w:tc>
          <w:tcPr>
            <w:tcW w:w="2937" w:type="dxa"/>
          </w:tcPr>
          <w:p w14:paraId="5BD4D28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9D18AD" w14:textId="77777777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3BC86EF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135552C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B551806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A876A76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ABF9B9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2814DB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C0C70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59F07F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1026F9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57EF4C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537FBCFB" w14:textId="77777777" w:rsidTr="00C6751B">
        <w:tc>
          <w:tcPr>
            <w:tcW w:w="2937" w:type="dxa"/>
          </w:tcPr>
          <w:p w14:paraId="058FFE2A" w14:textId="77777777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 Pojazdów i Kierowców (CEPiK);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00165512" w14:textId="77777777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>MF - Besti@: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73CA55C6" w14:textId="77777777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34497CA6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3FCD31" w14:textId="6F68C0D2" w:rsidR="00C6751B" w:rsidRPr="002537E4" w:rsidRDefault="002537E4" w:rsidP="00BA36A1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160915">
              <w:rPr>
                <w:rFonts w:cstheme="minorHAnsi"/>
                <w:sz w:val="18"/>
                <w:szCs w:val="20"/>
              </w:rPr>
              <w:t>11.2019</w:t>
            </w:r>
          </w:p>
        </w:tc>
        <w:tc>
          <w:tcPr>
            <w:tcW w:w="4394" w:type="dxa"/>
          </w:tcPr>
          <w:p w14:paraId="64AF7EF4" w14:textId="77777777"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14:paraId="3BA652A6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2019-02-2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https://dane.gov.pl/dataset/1455,informator-o-terminach-leczenia</w:t>
              </w:r>
            </w:hyperlink>
            <w:r w:rsidR="003774AD">
              <w:t>)</w:t>
            </w:r>
          </w:p>
          <w:p w14:paraId="76BD8C62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2019-03-2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r>
              <w:rPr>
                <w:rFonts w:cstheme="minorHAnsi"/>
                <w:color w:val="000000"/>
                <w:sz w:val="18"/>
                <w:szCs w:val="18"/>
              </w:rPr>
              <w:t>Besti@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https://dane.gov.pl/dataset/1490,dostep-do-bazy-danych-systemu-besti</w:t>
              </w:r>
            </w:hyperlink>
            <w:r w:rsidR="003774AD">
              <w:t>)</w:t>
            </w:r>
          </w:p>
          <w:p w14:paraId="60BF82E3" w14:textId="77777777" w:rsidR="00B60F16" w:rsidRDefault="00B60F1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</w:t>
            </w:r>
            <w:r w:rsidR="003774AD" w:rsidRPr="00AD7F2E">
              <w:rPr>
                <w:rFonts w:cstheme="minorHAnsi"/>
                <w:sz w:val="18"/>
                <w:szCs w:val="20"/>
              </w:rPr>
              <w:t>.04.30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 Statystyki </w:t>
            </w:r>
            <w:r w:rsidR="003774AD" w:rsidRPr="00AD7F2E">
              <w:rPr>
                <w:rFonts w:cstheme="minorHAnsi"/>
                <w:sz w:val="18"/>
                <w:szCs w:val="20"/>
              </w:rPr>
              <w:t>–</w:t>
            </w:r>
            <w:r w:rsidRPr="00AD7F2E">
              <w:rPr>
                <w:rFonts w:cstheme="minorHAnsi"/>
                <w:sz w:val="18"/>
                <w:szCs w:val="20"/>
              </w:rPr>
              <w:t xml:space="preserve"> Świadczenia</w:t>
            </w:r>
            <w:r w:rsidR="003774AD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3774AD"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1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https://dane.gov.pl/dataset/1519,api-statystyki-nfz-swiadczenia-1</w:t>
              </w:r>
            </w:hyperlink>
            <w:r w:rsidR="003774AD">
              <w:t>)</w:t>
            </w:r>
          </w:p>
          <w:p w14:paraId="2E0D1EE6" w14:textId="77777777" w:rsidR="006638E3" w:rsidRPr="006638E3" w:rsidRDefault="003774AD" w:rsidP="006638E3">
            <w:pPr>
              <w:spacing w:before="120" w:after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2019.05</w:t>
            </w:r>
            <w:r w:rsidR="00255049" w:rsidRPr="00AD7F2E">
              <w:rPr>
                <w:rFonts w:cstheme="minorHAnsi"/>
                <w:sz w:val="18"/>
                <w:szCs w:val="20"/>
              </w:rPr>
              <w:t>.</w:t>
            </w:r>
            <w:r w:rsidRPr="00AD7F2E">
              <w:rPr>
                <w:rFonts w:cstheme="minorHAnsi"/>
                <w:sz w:val="18"/>
                <w:szCs w:val="20"/>
              </w:rPr>
              <w:t>16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. – udostępniono </w:t>
            </w:r>
            <w:r w:rsidR="0098715E" w:rsidRPr="00AD7F2E">
              <w:rPr>
                <w:rFonts w:cstheme="minorHAnsi"/>
                <w:sz w:val="18"/>
                <w:szCs w:val="20"/>
              </w:rPr>
              <w:t>na portalu bazę MC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CEPIK</w:t>
            </w:r>
            <w:r w:rsidRPr="00AD7F2E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2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https://dane.gov.pl/dataset/1558,api-dla-bazy-centralnej-ewidencji-pojazdow-i-kierowcow-cepik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48672EA0" w14:textId="77777777" w:rsidR="00255049" w:rsidRDefault="003774AD">
            <w:pPr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06.06. – udostępniono na </w:t>
            </w:r>
            <w:r w:rsidR="0098715E" w:rsidRPr="00AD7F2E">
              <w:rPr>
                <w:rFonts w:cstheme="minorHAnsi"/>
                <w:sz w:val="18"/>
                <w:szCs w:val="20"/>
              </w:rPr>
              <w:t>portalu bazę NFZ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B60F16" w:rsidRPr="00AD7F2E">
              <w:rPr>
                <w:rFonts w:cstheme="minorHAnsi"/>
                <w:sz w:val="18"/>
                <w:szCs w:val="20"/>
              </w:rPr>
              <w:t xml:space="preserve">Statystyki - </w:t>
            </w:r>
            <w:r w:rsidR="00255049" w:rsidRPr="00AD7F2E">
              <w:rPr>
                <w:rFonts w:cstheme="minorHAnsi"/>
                <w:sz w:val="18"/>
                <w:szCs w:val="20"/>
              </w:rPr>
              <w:t>Refundacja Apteczna</w:t>
            </w:r>
            <w:r w:rsidR="00255049" w:rsidRPr="00AD7F2E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(</w:t>
            </w:r>
            <w:hyperlink r:id="rId13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https://dane.gov.pl/dataset/1601,api-statystyki%C2%A0nfz-%E2%80%93-refundacja-apteczna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49F136F7" w14:textId="43C65ACE" w:rsidR="00215611" w:rsidRDefault="00215611" w:rsidP="00215611">
            <w:pPr>
              <w:spacing w:before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07.31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programach lekowych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4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https://dane.gov.pl/dataset/1676,api-statystyka-programy-lekowe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14:paraId="3E8C5D27" w14:textId="0AA9C91D" w:rsidR="00215611" w:rsidRDefault="0021561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08.30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Chemioterapii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5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https://dane.gov.pl/dataset/1682,api-statystyki-nfz-leki-w-chemioterapii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14:paraId="6149B718" w14:textId="77777777" w:rsidR="00A43F2D" w:rsidRDefault="0035166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2019.11.10 – udostępniono na portalu bazę NFZ Umowy</w:t>
            </w:r>
          </w:p>
          <w:p w14:paraId="45D690D9" w14:textId="02ACDC92" w:rsidR="00351661" w:rsidRPr="00A43F2D" w:rsidRDefault="00A43F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43F2D">
              <w:rPr>
                <w:rFonts w:cstheme="minorHAnsi"/>
                <w:sz w:val="18"/>
                <w:szCs w:val="18"/>
              </w:rPr>
              <w:t>(</w:t>
            </w:r>
            <w:hyperlink r:id="rId16" w:history="1">
              <w:r w:rsidRPr="00A43F2D">
                <w:rPr>
                  <w:rStyle w:val="Hipercze"/>
                  <w:sz w:val="18"/>
                  <w:szCs w:val="18"/>
                </w:rPr>
                <w:t>https://dane.gov.pl/dataset/1734,api-umowy-nfz</w:t>
              </w:r>
            </w:hyperlink>
            <w:r w:rsidRPr="00A43F2D">
              <w:rPr>
                <w:sz w:val="18"/>
                <w:szCs w:val="18"/>
              </w:rPr>
              <w:t>)</w:t>
            </w:r>
            <w:r w:rsidR="00351661" w:rsidRPr="00A43F2D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6681D574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D0299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DE6AF0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D5DBB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59CC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80AE55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50E348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316312FE" w14:textId="77777777" w:rsidTr="006251DB">
        <w:tc>
          <w:tcPr>
            <w:tcW w:w="2547" w:type="dxa"/>
          </w:tcPr>
          <w:p w14:paraId="67D431FB" w14:textId="77777777" w:rsidR="00760CE8" w:rsidRPr="005A53AC" w:rsidRDefault="00CE511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 w:rsidRPr="00CE5118">
              <w:rPr>
                <w:color w:val="000000"/>
                <w:sz w:val="18"/>
                <w:szCs w:val="18"/>
                <w:lang w:eastAsia="pl-PL"/>
              </w:rPr>
              <w:t>1.</w:t>
            </w:r>
            <w:r w:rsidR="00760CE8">
              <w:rPr>
                <w:color w:val="000000"/>
                <w:lang w:eastAsia="pl-PL"/>
              </w:rPr>
              <w:t xml:space="preserve"> </w:t>
            </w:r>
            <w:r w:rsidR="00760CE8"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528E4D9D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lastRenderedPageBreak/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8445B4C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316F5597" w14:textId="77777777" w:rsidR="00A86449" w:rsidRPr="00141A92" w:rsidRDefault="00760CE8" w:rsidP="00C33C18">
            <w:pPr>
              <w:autoSpaceDE w:val="0"/>
              <w:autoSpaceDN w:val="0"/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173359AD" w14:textId="77777777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04.2018 </w:t>
            </w:r>
          </w:p>
          <w:p w14:paraId="2803F0D4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552B8DB" w14:textId="77777777" w:rsidR="00D76179" w:rsidRDefault="00D76179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718A67D2" w14:textId="77777777" w:rsidR="00D76179" w:rsidRDefault="00D76179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66669A2B" w14:textId="77777777" w:rsidR="00630B12" w:rsidRDefault="00630B1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71718251" w14:textId="77777777" w:rsidR="00AA7B62" w:rsidRDefault="00AA7B6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 xml:space="preserve">10.2019 </w:t>
            </w:r>
          </w:p>
          <w:p w14:paraId="2AA15876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3E189B11" w14:textId="77777777" w:rsidR="000637EF" w:rsidRDefault="000637EF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ACB643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37D12292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6D280D88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59776264" w14:textId="77777777" w:rsidR="002537E4" w:rsidRDefault="002537E4" w:rsidP="00A86449">
            <w:pPr>
              <w:rPr>
                <w:rFonts w:cstheme="minorHAnsi"/>
                <w:sz w:val="18"/>
                <w:szCs w:val="18"/>
              </w:rPr>
            </w:pPr>
          </w:p>
          <w:p w14:paraId="63A1853F" w14:textId="77777777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4681B820" w14:textId="77777777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9816F39" w14:textId="77777777" w:rsidR="00310D8E" w:rsidRDefault="00A0133B" w:rsidP="006251DB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lastRenderedPageBreak/>
              <w:t>06.2018</w:t>
            </w:r>
          </w:p>
          <w:p w14:paraId="7594E8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CA75314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A2B20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09354CAD" w14:textId="77777777" w:rsidR="00630B12" w:rsidRDefault="00630B1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3ED08128" w14:textId="3B7E8B58" w:rsidR="009F5D40" w:rsidRDefault="00ED125E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09.2018</w:t>
            </w:r>
          </w:p>
          <w:p w14:paraId="5FF7A39C" w14:textId="77777777" w:rsidR="009F5D40" w:rsidRDefault="009F5D40" w:rsidP="00DF76DE">
            <w:pPr>
              <w:spacing w:before="240"/>
              <w:rPr>
                <w:color w:val="000000" w:themeColor="text1"/>
                <w:sz w:val="18"/>
                <w:szCs w:val="20"/>
              </w:rPr>
            </w:pPr>
          </w:p>
          <w:p w14:paraId="66120159" w14:textId="77777777" w:rsidR="003774AD" w:rsidRDefault="003774AD" w:rsidP="00DF76DE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5BCAA0F3" w14:textId="77777777" w:rsidR="003774AD" w:rsidRDefault="003774AD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149468" w14:textId="77777777" w:rsidR="004C1D48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466B60" w14:textId="77777777" w:rsidR="002537E4" w:rsidRDefault="002537E4" w:rsidP="006251DB">
            <w:pPr>
              <w:rPr>
                <w:rFonts w:cstheme="minorHAnsi"/>
                <w:color w:val="0070C0"/>
                <w:sz w:val="18"/>
                <w:szCs w:val="18"/>
              </w:rPr>
            </w:pPr>
          </w:p>
          <w:p w14:paraId="078D8085" w14:textId="5C1E7E7D" w:rsidR="00ED125E" w:rsidRPr="0070034F" w:rsidRDefault="00ED125E" w:rsidP="002537E4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DF76DE">
              <w:rPr>
                <w:rFonts w:cstheme="minorHAnsi"/>
                <w:sz w:val="18"/>
                <w:szCs w:val="18"/>
              </w:rPr>
              <w:t>04.2020</w:t>
            </w:r>
          </w:p>
        </w:tc>
        <w:tc>
          <w:tcPr>
            <w:tcW w:w="3543" w:type="dxa"/>
          </w:tcPr>
          <w:p w14:paraId="5A88138E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0DC5D09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E9F60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79CE9F5F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A90BA5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D48A9B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7A3A7B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C6640B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700C058" w14:textId="77777777" w:rsidTr="00322614">
        <w:tc>
          <w:tcPr>
            <w:tcW w:w="3265" w:type="dxa"/>
            <w:vAlign w:val="center"/>
          </w:tcPr>
          <w:p w14:paraId="00363821" w14:textId="4DBE5FF1" w:rsidR="00432984" w:rsidRDefault="00432984" w:rsidP="0043298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Opóźnienia w realizacji zadań z</w:t>
            </w:r>
            <w:r w:rsidR="00351661">
              <w:rPr>
                <w:sz w:val="18"/>
                <w:szCs w:val="20"/>
              </w:rPr>
              <w:t>w</w:t>
            </w:r>
            <w:r>
              <w:rPr>
                <w:sz w:val="18"/>
                <w:szCs w:val="20"/>
              </w:rPr>
              <w:t>. z b</w:t>
            </w:r>
            <w:r w:rsidRPr="0022635B">
              <w:rPr>
                <w:sz w:val="18"/>
                <w:szCs w:val="20"/>
              </w:rPr>
              <w:t>rak</w:t>
            </w:r>
            <w:r>
              <w:rPr>
                <w:sz w:val="18"/>
                <w:szCs w:val="20"/>
              </w:rPr>
              <w:t>iem</w:t>
            </w:r>
            <w:r w:rsidRPr="0022635B">
              <w:rPr>
                <w:sz w:val="18"/>
                <w:szCs w:val="20"/>
              </w:rPr>
              <w:t xml:space="preserve"> zainteresowania potencjalnych wykonawców postępowania</w:t>
            </w:r>
            <w:r>
              <w:rPr>
                <w:sz w:val="18"/>
                <w:szCs w:val="20"/>
              </w:rPr>
              <w:t>mi</w:t>
            </w:r>
            <w:r w:rsidRPr="0022635B">
              <w:rPr>
                <w:sz w:val="18"/>
                <w:szCs w:val="20"/>
              </w:rPr>
              <w:t xml:space="preserve"> dot. zamówień publicznych</w:t>
            </w:r>
            <w:r>
              <w:rPr>
                <w:sz w:val="18"/>
                <w:szCs w:val="20"/>
              </w:rPr>
              <w:t>, niska jakość dostarczonych produktów.</w:t>
            </w:r>
          </w:p>
          <w:p w14:paraId="4F4AD8F3" w14:textId="494436CF" w:rsidR="00FD1F68" w:rsidRDefault="00FD1F68" w:rsidP="00D84A8B">
            <w:pPr>
              <w:rPr>
                <w:sz w:val="18"/>
                <w:szCs w:val="20"/>
              </w:rPr>
            </w:pPr>
          </w:p>
          <w:p w14:paraId="0571C76F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78FCA90A" w14:textId="77777777"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14:paraId="442409F9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6EFAB308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0F8A46CA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09C8E77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5CACE8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1A02F7B6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ADE055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A354029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726F0ACD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2909146B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6C959E8F" w14:textId="77777777" w:rsidR="008C7213" w:rsidRDefault="008C7213" w:rsidP="0022635B">
            <w:pPr>
              <w:pStyle w:val="Tekstkomentarza"/>
              <w:rPr>
                <w:sz w:val="18"/>
                <w:szCs w:val="18"/>
              </w:rPr>
            </w:pPr>
          </w:p>
          <w:p w14:paraId="0E228FC7" w14:textId="77777777" w:rsidR="008C7213" w:rsidRDefault="008C7213" w:rsidP="0022635B">
            <w:pPr>
              <w:pStyle w:val="Tekstkomentarza"/>
              <w:rPr>
                <w:sz w:val="18"/>
                <w:szCs w:val="18"/>
              </w:rPr>
            </w:pPr>
          </w:p>
          <w:p w14:paraId="5EF28282" w14:textId="77777777" w:rsidR="008C7213" w:rsidRDefault="008C7213" w:rsidP="0022635B">
            <w:pPr>
              <w:pStyle w:val="Tekstkomentarza"/>
              <w:rPr>
                <w:sz w:val="18"/>
                <w:szCs w:val="18"/>
              </w:rPr>
            </w:pPr>
          </w:p>
          <w:p w14:paraId="18859E6E" w14:textId="77777777" w:rsidR="008C7213" w:rsidRDefault="008C7213" w:rsidP="0022635B">
            <w:pPr>
              <w:pStyle w:val="Tekstkomentarza"/>
              <w:rPr>
                <w:sz w:val="18"/>
                <w:szCs w:val="18"/>
              </w:rPr>
            </w:pPr>
          </w:p>
          <w:p w14:paraId="38B511D9" w14:textId="77777777" w:rsidR="008C7213" w:rsidRDefault="008C7213" w:rsidP="0022635B">
            <w:pPr>
              <w:pStyle w:val="Tekstkomentarza"/>
              <w:rPr>
                <w:sz w:val="18"/>
                <w:szCs w:val="18"/>
              </w:rPr>
            </w:pPr>
          </w:p>
          <w:p w14:paraId="0FEDDBEC" w14:textId="6B558C43" w:rsidR="00322614" w:rsidRPr="00650D08" w:rsidRDefault="0022635B" w:rsidP="0022635B">
            <w:pPr>
              <w:pStyle w:val="Tekstkomentarza"/>
              <w:rPr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331AA6CE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1718F4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89F5FA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526234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323191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86E5E5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62E47F3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88B133D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A6DDC76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3AF516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D33258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C829BA7" w14:textId="7ABA55EE" w:rsidR="00261010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Opóźnienie w implementacji funkcjonalności na portalu </w:t>
            </w:r>
            <w:r w:rsidR="00261010"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związane z ich złożonością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599A1E7F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5F4E7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5C9849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73C89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A15DBA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BE30C5E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D79AC3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50429C9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9463EC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017D664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E4A4AC2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43BC2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74D710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A0DA1D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242ED7F" w14:textId="46A8C68D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890DD42" w14:textId="77777777"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14:paraId="3884EEC4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D8F1DD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014AF33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21458BD" w14:textId="77777777" w:rsidR="00481AA1" w:rsidRDefault="00481AA1" w:rsidP="00324CA6"/>
          <w:p w14:paraId="358C929A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7D9DBD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96AB49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802C7F8" w14:textId="77777777" w:rsidR="00406366" w:rsidRDefault="00406366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Możliwe niewydatkowanie środków u Partnera NFZ na wynagr</w:t>
            </w:r>
            <w:r w:rsidR="001E5474">
              <w:rPr>
                <w:rFonts w:ascii="Calibri" w:hAnsi="Calibri" w:cs="Calibri"/>
                <w:color w:val="000000"/>
                <w:sz w:val="18"/>
                <w:szCs w:val="18"/>
              </w:rPr>
              <w:t>odzenia dla zespołu projektowego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zwrot już poniesionych kosztów w zw. z</w:t>
            </w:r>
            <w:r w:rsid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zakwestionowaniem przez CPPC kwalifikowalności  dodatków zadaniowych personelu projektowego NFZ ze względu na niespełnienie wytycznych kwalifikowalności, wg których zasady przyznawania dodatku powinny być takie same dla personelu projektu i pozostałych pracowników</w:t>
            </w:r>
            <w:r w:rsidR="00501AFC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1B737B24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847DEB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8379C4C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873E19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0A1E008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D1C50A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24EBD8E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1CAD4EA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D56F72A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54DE26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417CB6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B4B797A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9803C66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799F14A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596677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0F36D11" w14:textId="136E9871" w:rsidR="00501AFC" w:rsidRPr="00CE2EC8" w:rsidRDefault="00501AFC" w:rsidP="00DF76DE">
            <w:pPr>
              <w:rPr>
                <w:rFonts w:cstheme="minorHAnsi"/>
              </w:rPr>
            </w:pPr>
            <w:r w:rsidRPr="00DF76DE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Koronawirus (COVID-19) - ryzyko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opóźnień </w:t>
            </w:r>
            <w:r w:rsidRPr="00DF76DE">
              <w:rPr>
                <w:rFonts w:cstheme="minorHAnsi"/>
                <w:color w:val="000000"/>
                <w:sz w:val="18"/>
                <w:szCs w:val="18"/>
              </w:rPr>
              <w:t xml:space="preserve">prac </w:t>
            </w:r>
            <w:r w:rsidRPr="00501AFC">
              <w:rPr>
                <w:rFonts w:cstheme="minorHAnsi"/>
                <w:color w:val="000000"/>
                <w:sz w:val="18"/>
                <w:szCs w:val="18"/>
              </w:rPr>
              <w:t>wytwórczych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 (portal)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 oraz </w:t>
            </w:r>
            <w:r w:rsidR="00DF76DE">
              <w:rPr>
                <w:rFonts w:cstheme="minorHAnsi"/>
                <w:color w:val="000000"/>
                <w:sz w:val="18"/>
                <w:szCs w:val="18"/>
              </w:rPr>
              <w:t xml:space="preserve">ryzyko niewykonania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pozostałych 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zadań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>realizowanych przez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 zespół projektowy (MC i BL). </w:t>
            </w:r>
          </w:p>
        </w:tc>
        <w:tc>
          <w:tcPr>
            <w:tcW w:w="1697" w:type="dxa"/>
          </w:tcPr>
          <w:p w14:paraId="25AC1499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559EE8E1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58DB86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7EA9114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CC673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8A140C3" w14:textId="77777777"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5A70049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0D79D0D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A9BC95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E687415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22CC2AE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849A4A3" w14:textId="77777777" w:rsidR="00A15290" w:rsidRDefault="00A1529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91B9656" w14:textId="77777777" w:rsidR="008C7213" w:rsidRDefault="008C7213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E837791" w14:textId="77777777" w:rsidR="008C7213" w:rsidRDefault="008C7213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B2327C9" w14:textId="77777777" w:rsidR="008C7213" w:rsidRDefault="008C7213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D3E5C1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1C60DE9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B480B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F6428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C81B46F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4942B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36152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B281ED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62F39D1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C9BCCC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363D13E" w14:textId="77777777" w:rsidR="00481AA1" w:rsidRDefault="00324CA6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Średnia</w:t>
            </w:r>
          </w:p>
          <w:p w14:paraId="575F364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AB30EB2" w14:textId="77777777" w:rsidR="006638E3" w:rsidRDefault="006638E3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47C3FE" w14:textId="77777777" w:rsidR="006638E3" w:rsidRDefault="006638E3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D71D6AE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70DA78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92C91D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2C3A9BC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534201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C36E9FE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16B5A8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9BAC023" w14:textId="77777777" w:rsidR="002537E4" w:rsidRDefault="002537E4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36AE87" w14:textId="77777777" w:rsidR="004F5EEA" w:rsidRDefault="004F5EEA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0AD26749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4D100C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116F6E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909FEDE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B1CDBA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224C0080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58BBFF59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73BBCC1C" w14:textId="77777777" w:rsidR="00F066E2" w:rsidRDefault="00F066E2" w:rsidP="00F20B65">
            <w:pPr>
              <w:rPr>
                <w:rFonts w:cstheme="minorHAnsi"/>
                <w:sz w:val="18"/>
                <w:szCs w:val="18"/>
              </w:rPr>
            </w:pPr>
          </w:p>
          <w:p w14:paraId="6FA9D072" w14:textId="77777777" w:rsidR="00E30BEF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A99CD1" w14:textId="77777777" w:rsidR="007719AE" w:rsidRDefault="007719AE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8E047C7" w14:textId="77777777" w:rsidR="00B613E9" w:rsidRDefault="00B613E9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BF86CAB" w14:textId="77777777" w:rsidR="00F066E2" w:rsidRDefault="00E30BEF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806E7D">
              <w:rPr>
                <w:rFonts w:cstheme="minorHAnsi"/>
                <w:sz w:val="18"/>
                <w:szCs w:val="18"/>
              </w:rPr>
              <w:t>ysokie</w:t>
            </w:r>
          </w:p>
          <w:p w14:paraId="1ACB63CE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7C08CD6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0E7ADA9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2FDDD8C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02923B1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54B2ED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604FE8F5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4A8E18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DE11924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F8E41F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F844F14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1DAA9A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6CAA4686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B6075FE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1E9B801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4E8DE4FF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3496E10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13BCA80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3BA4F3FA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423081B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59ECC5F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6B733399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3D8F6E7E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4BD0BE04" w14:textId="77777777" w:rsidR="00630B12" w:rsidRDefault="00630B12" w:rsidP="002537E4">
            <w:pPr>
              <w:rPr>
                <w:rFonts w:cstheme="minorHAnsi"/>
                <w:sz w:val="18"/>
                <w:szCs w:val="18"/>
              </w:rPr>
            </w:pPr>
          </w:p>
          <w:p w14:paraId="24B30BF7" w14:textId="77777777" w:rsidR="00630B12" w:rsidRDefault="00630B12" w:rsidP="002537E4">
            <w:pPr>
              <w:rPr>
                <w:rFonts w:cstheme="minorHAnsi"/>
                <w:sz w:val="18"/>
                <w:szCs w:val="18"/>
              </w:rPr>
            </w:pPr>
          </w:p>
          <w:p w14:paraId="0C9609C9" w14:textId="2BC605BA" w:rsidR="000B4C3B" w:rsidRDefault="005222C8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Średnie</w:t>
            </w:r>
            <w:r w:rsidR="00AB0F2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58111CD" w14:textId="25C7CF63" w:rsidR="000B4C3B" w:rsidRPr="0022635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394C1F0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1CE0CD3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72D4CDB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FEA6F4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FBB20FF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48EDD7A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7776681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AA44338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3AB3ABD0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1B571A22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9C87A11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FFC7C0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1A3F52C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61362F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C3DB870" w14:textId="77777777" w:rsidR="00A15290" w:rsidRDefault="00A15290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48EB093" w14:textId="77777777" w:rsidR="008C7213" w:rsidRDefault="008C7213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F6E6212" w14:textId="77777777" w:rsidR="008C7213" w:rsidRDefault="008C7213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3A4CAD2" w14:textId="77777777" w:rsidR="008C7213" w:rsidRDefault="008C7213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D316B1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14:paraId="521A4C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5FF7A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515148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4C08343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878787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4ECB875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7D72102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BE3A44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22237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3B766B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6DED710B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916B406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051BE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0B2EA0A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Średnie</w:t>
            </w:r>
          </w:p>
          <w:p w14:paraId="2AC956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8F80BF2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EEEEBC0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757A054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5D600D8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45B93AD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A1A008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7338D908" w14:textId="77777777" w:rsidR="00A15290" w:rsidRDefault="00A15290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ED6FE5E" w14:textId="77777777" w:rsidR="004F5EEA" w:rsidRDefault="004F5EEA" w:rsidP="00160915">
            <w:pPr>
              <w:spacing w:before="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8E918EB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616DAEC2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7D63BF1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0C662DF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5CBC2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4E15489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374AD7D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F14130C" w14:textId="77777777" w:rsidR="00F20B65" w:rsidRDefault="00F20B65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DC4F2F6" w14:textId="77777777" w:rsidR="00F066E2" w:rsidRDefault="00F066E2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72E750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1E9F053A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5598340C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18EBED6C" w14:textId="77777777" w:rsidR="00A15290" w:rsidRDefault="00A15290" w:rsidP="00324CA6">
            <w:pPr>
              <w:rPr>
                <w:rFonts w:cstheme="minorHAnsi"/>
                <w:sz w:val="18"/>
                <w:szCs w:val="18"/>
              </w:rPr>
            </w:pPr>
          </w:p>
          <w:p w14:paraId="37DE24AB" w14:textId="77777777" w:rsidR="00806E7D" w:rsidRDefault="00806E7D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Wysokie</w:t>
            </w:r>
          </w:p>
          <w:p w14:paraId="09C79316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8625EC0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0D9C897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DF0FE5B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15AB70F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02DA31F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1D7D2F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FC4835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0EEF931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DAB85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3DE14BB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8E9FA1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6952B14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3A2722F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E7B1BB7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3DECEB6" w14:textId="77777777" w:rsidR="00630B12" w:rsidRDefault="00630B12" w:rsidP="00DF76DE">
            <w:pPr>
              <w:rPr>
                <w:rFonts w:cstheme="minorHAnsi"/>
                <w:sz w:val="18"/>
                <w:szCs w:val="18"/>
              </w:rPr>
            </w:pPr>
          </w:p>
          <w:p w14:paraId="3424EFC7" w14:textId="24018751" w:rsidR="000B4C3B" w:rsidRPr="0022635B" w:rsidRDefault="00DF76DE" w:rsidP="00DF76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Wysokie</w:t>
            </w:r>
          </w:p>
        </w:tc>
        <w:tc>
          <w:tcPr>
            <w:tcW w:w="2410" w:type="dxa"/>
          </w:tcPr>
          <w:p w14:paraId="080F67AF" w14:textId="165FD625" w:rsidR="0022635B" w:rsidRDefault="00E30BEF" w:rsidP="000667D7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Działania: </w:t>
            </w:r>
            <w:r w:rsidR="00650D08">
              <w:rPr>
                <w:sz w:val="18"/>
                <w:szCs w:val="20"/>
              </w:rPr>
              <w:t xml:space="preserve">Realne </w:t>
            </w:r>
            <w:r w:rsidR="00650D08" w:rsidRPr="0022635B">
              <w:rPr>
                <w:sz w:val="18"/>
                <w:szCs w:val="20"/>
              </w:rPr>
              <w:t>formułowanie oczekiwań odnośnie do zakresu zamówień i kryteriów wyboru wykonawcy</w:t>
            </w:r>
            <w:r w:rsidR="00650D08">
              <w:rPr>
                <w:sz w:val="18"/>
                <w:szCs w:val="20"/>
              </w:rPr>
              <w:t>. Przeprowadzenie rozeznania rynku za pomocą procedury dialogu technicznego. Zmiana zakresu zadania za zgodą CPPC.</w:t>
            </w:r>
          </w:p>
          <w:p w14:paraId="40CC5266" w14:textId="73C9E4E0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Spodziewane lub faktyczne efekty:</w:t>
            </w:r>
            <w:r w:rsidR="00650D08">
              <w:rPr>
                <w:sz w:val="18"/>
                <w:szCs w:val="20"/>
              </w:rPr>
              <w:t xml:space="preserve"> zainteresowanie rynku.</w:t>
            </w:r>
          </w:p>
          <w:p w14:paraId="057BA09F" w14:textId="58C86128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</w:t>
            </w:r>
            <w:r w:rsidR="00650D08">
              <w:rPr>
                <w:sz w:val="18"/>
                <w:szCs w:val="20"/>
              </w:rPr>
              <w:t xml:space="preserve"> </w:t>
            </w:r>
            <w:r w:rsidR="008C7213">
              <w:rPr>
                <w:sz w:val="18"/>
                <w:szCs w:val="20"/>
              </w:rPr>
              <w:t xml:space="preserve"> nieaktywne </w:t>
            </w:r>
          </w:p>
          <w:p w14:paraId="4B2200CB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04929BC" w14:textId="77777777"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</w:p>
          <w:p w14:paraId="61058F2F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1E3A1BB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4D739D0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DB7EA52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5DEF6CC" w14:textId="11F12643" w:rsidR="00650D08" w:rsidRDefault="00650D0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</w:t>
            </w:r>
            <w:r w:rsidR="00790781">
              <w:rPr>
                <w:rFonts w:cstheme="minorHAnsi"/>
                <w:sz w:val="18"/>
                <w:szCs w:val="18"/>
              </w:rPr>
              <w:t>Zapewnienie wymiany wiedzy w zespole, zastępowalności</w:t>
            </w:r>
            <w:r>
              <w:rPr>
                <w:rFonts w:cstheme="minorHAnsi"/>
                <w:sz w:val="18"/>
                <w:szCs w:val="18"/>
              </w:rPr>
              <w:t>, przygotowywanie dokumentacji</w:t>
            </w:r>
            <w:r w:rsidR="008B68C6">
              <w:rPr>
                <w:rFonts w:cstheme="minorHAnsi"/>
                <w:sz w:val="18"/>
                <w:szCs w:val="18"/>
              </w:rPr>
              <w:t xml:space="preserve"> portalu</w:t>
            </w:r>
            <w:r>
              <w:rPr>
                <w:rFonts w:cstheme="minorHAnsi"/>
                <w:sz w:val="18"/>
                <w:szCs w:val="18"/>
              </w:rPr>
              <w:t>, motywowanie.</w:t>
            </w:r>
          </w:p>
          <w:p w14:paraId="728537CC" w14:textId="0932AB14" w:rsidR="00FD1F6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Spodziewane lub faktyczne efekty: 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 </w:t>
            </w:r>
            <w:r w:rsidR="008B68C6">
              <w:rPr>
                <w:rFonts w:cstheme="minorHAnsi"/>
                <w:sz w:val="18"/>
                <w:szCs w:val="18"/>
              </w:rPr>
              <w:t>zaangażowanie w prace projektowe do końca projektu.</w:t>
            </w:r>
          </w:p>
          <w:p w14:paraId="31F83217" w14:textId="435333E5" w:rsidR="008B68C6" w:rsidRDefault="008B68C6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 xml:space="preserve">Zmiana w stosunku do poprzedniego okresu sprawozdawczego: </w:t>
            </w:r>
            <w:r w:rsidR="008C7213">
              <w:rPr>
                <w:sz w:val="18"/>
                <w:szCs w:val="20"/>
              </w:rPr>
              <w:t>nieaktywne</w:t>
            </w:r>
          </w:p>
          <w:p w14:paraId="4ED1978A" w14:textId="77777777" w:rsidR="008B68C6" w:rsidRPr="00C95BE7" w:rsidRDefault="008B68C6" w:rsidP="00C1106C">
            <w:pPr>
              <w:rPr>
                <w:rFonts w:cstheme="minorHAnsi"/>
                <w:sz w:val="18"/>
                <w:szCs w:val="18"/>
              </w:rPr>
            </w:pPr>
          </w:p>
          <w:p w14:paraId="7BBA74F5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3B25D1E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64D65FEA" w14:textId="7E701069" w:rsidR="00261010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Działania: zlecanie wykonania części prac w ramach zamówień publicznych, korzystanie z </w:t>
            </w:r>
            <w:r w:rsidR="007719AE">
              <w:rPr>
                <w:rFonts w:cstheme="minorHAnsi"/>
                <w:sz w:val="18"/>
                <w:szCs w:val="18"/>
              </w:rPr>
              <w:t>otwartych rozwiązań</w:t>
            </w:r>
            <w:r>
              <w:rPr>
                <w:rFonts w:cstheme="minorHAnsi"/>
                <w:sz w:val="18"/>
                <w:szCs w:val="18"/>
              </w:rPr>
              <w:t>, zmiany w zakresie i budżecie projektu, elastyczne zarządzanie harmonogramem rozbudowy portalu.</w:t>
            </w:r>
          </w:p>
          <w:p w14:paraId="4A03FAB7" w14:textId="60DABA9C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Spodziewane lub faktyczne efekty: za</w:t>
            </w:r>
            <w:r w:rsidR="007719AE">
              <w:rPr>
                <w:rFonts w:cstheme="minorHAnsi"/>
                <w:sz w:val="18"/>
                <w:szCs w:val="18"/>
              </w:rPr>
              <w:t>chowanie właściwego tempa prac i implementacji funkcjonalności zg. z planem etapu.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E9E7241" w14:textId="69FABE64" w:rsidR="007719AE" w:rsidRDefault="007719AE" w:rsidP="007719AE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 xml:space="preserve">Zmiana w stosunku do poprzedniego okresu sprawozdawczego: </w:t>
            </w:r>
            <w:r w:rsidR="008C7213">
              <w:rPr>
                <w:sz w:val="18"/>
                <w:szCs w:val="20"/>
              </w:rPr>
              <w:t>nieaktywne</w:t>
            </w:r>
          </w:p>
          <w:p w14:paraId="54AD3EAA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4235CE62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6722B7F2" w14:textId="77777777" w:rsidR="007719AE" w:rsidRDefault="007571FA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</w:t>
            </w:r>
            <w:r w:rsidR="007719AE">
              <w:rPr>
                <w:rFonts w:cstheme="minorHAnsi"/>
                <w:sz w:val="18"/>
                <w:szCs w:val="18"/>
              </w:rPr>
              <w:t>ustalenia</w:t>
            </w:r>
            <w:r w:rsidR="00406366">
              <w:rPr>
                <w:rFonts w:cstheme="minorHAnsi"/>
                <w:sz w:val="18"/>
                <w:szCs w:val="18"/>
              </w:rPr>
              <w:t xml:space="preserve"> z</w:t>
            </w:r>
            <w:r w:rsidRPr="007571FA">
              <w:rPr>
                <w:rFonts w:cstheme="minorHAnsi"/>
                <w:sz w:val="18"/>
                <w:szCs w:val="18"/>
              </w:rPr>
              <w:t xml:space="preserve"> analityk</w:t>
            </w:r>
            <w:r w:rsidR="00406366">
              <w:rPr>
                <w:rFonts w:cstheme="minorHAnsi"/>
                <w:sz w:val="18"/>
                <w:szCs w:val="18"/>
              </w:rPr>
              <w:t>iem</w:t>
            </w:r>
            <w:r w:rsidRPr="007571FA">
              <w:rPr>
                <w:rFonts w:cstheme="minorHAnsi"/>
                <w:sz w:val="18"/>
                <w:szCs w:val="18"/>
              </w:rPr>
              <w:t xml:space="preserve"> danych z zakresu umów</w:t>
            </w:r>
            <w:r w:rsidR="00443358">
              <w:rPr>
                <w:rFonts w:cstheme="minorHAnsi"/>
                <w:sz w:val="18"/>
                <w:szCs w:val="18"/>
              </w:rPr>
              <w:t>.</w:t>
            </w:r>
            <w:r w:rsidR="00F20B6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1C63EF" w14:textId="39F79E26" w:rsidR="00432984" w:rsidRDefault="00432984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Spodziewane lub faktyczne efekty: z</w:t>
            </w:r>
            <w:r w:rsidR="00F20B65">
              <w:rPr>
                <w:rFonts w:cstheme="minorHAnsi"/>
                <w:sz w:val="18"/>
                <w:szCs w:val="18"/>
              </w:rPr>
              <w:t>goda CPPC</w:t>
            </w:r>
            <w:r w:rsidR="00406366">
              <w:rPr>
                <w:rFonts w:cstheme="minorHAnsi"/>
                <w:sz w:val="18"/>
                <w:szCs w:val="18"/>
              </w:rPr>
              <w:t xml:space="preserve"> na zmiany terminu</w:t>
            </w:r>
            <w:r w:rsidR="00F20B65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BF2966A" w14:textId="2B939819" w:rsidR="007571FA" w:rsidRPr="00432984" w:rsidRDefault="00432984" w:rsidP="0043298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Zmiana w stosunku do poprzedniego okresu sprawozdawczego: </w:t>
            </w:r>
            <w:r w:rsidR="008C7213">
              <w:rPr>
                <w:rFonts w:cstheme="minorHAnsi"/>
                <w:sz w:val="18"/>
                <w:szCs w:val="18"/>
              </w:rPr>
              <w:t xml:space="preserve"> </w:t>
            </w:r>
            <w:r w:rsidR="008C7213">
              <w:rPr>
                <w:sz w:val="18"/>
                <w:szCs w:val="20"/>
              </w:rPr>
              <w:t>nieaktywne</w:t>
            </w:r>
            <w:r w:rsidR="00F20B6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CCE30E" w14:textId="77777777" w:rsidR="00406366" w:rsidRDefault="00406366" w:rsidP="00324CA6">
            <w:pPr>
              <w:rPr>
                <w:rFonts w:cstheme="minorHAnsi"/>
                <w:sz w:val="18"/>
                <w:szCs w:val="18"/>
              </w:rPr>
            </w:pPr>
          </w:p>
          <w:p w14:paraId="55C59B84" w14:textId="77777777" w:rsidR="00A15290" w:rsidRDefault="00A15290" w:rsidP="00E30BEF">
            <w:pPr>
              <w:rPr>
                <w:rFonts w:cstheme="minorHAnsi"/>
                <w:sz w:val="18"/>
                <w:szCs w:val="18"/>
              </w:rPr>
            </w:pPr>
          </w:p>
          <w:p w14:paraId="13D8155A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A449408" w14:textId="77777777" w:rsidR="00442FC8" w:rsidRDefault="00442FC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FCD1DB3" w14:textId="0726BF35" w:rsidR="007719AE" w:rsidRDefault="00806E7D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806E7D">
              <w:rPr>
                <w:rFonts w:cstheme="minorHAnsi"/>
                <w:sz w:val="18"/>
                <w:szCs w:val="18"/>
              </w:rPr>
              <w:t xml:space="preserve">Sporządzenie opinii prawnej przez BP NFZ </w:t>
            </w:r>
            <w:r>
              <w:rPr>
                <w:rFonts w:cstheme="minorHAnsi"/>
                <w:sz w:val="18"/>
                <w:szCs w:val="18"/>
              </w:rPr>
              <w:t>wz.</w:t>
            </w:r>
            <w:r w:rsidRPr="00806E7D">
              <w:rPr>
                <w:rFonts w:cstheme="minorHAnsi"/>
                <w:sz w:val="18"/>
                <w:szCs w:val="18"/>
              </w:rPr>
              <w:t xml:space="preserve"> przyzn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06E7D">
              <w:rPr>
                <w:rFonts w:cstheme="minorHAnsi"/>
                <w:sz w:val="18"/>
                <w:szCs w:val="18"/>
              </w:rPr>
              <w:t xml:space="preserve">wania dodatku zadaniowego w NFZ </w:t>
            </w:r>
            <w:r>
              <w:rPr>
                <w:rFonts w:cstheme="minorHAnsi"/>
                <w:sz w:val="18"/>
                <w:szCs w:val="18"/>
              </w:rPr>
              <w:t>i zgodności z</w:t>
            </w:r>
            <w:r w:rsidR="00E30BEF">
              <w:rPr>
                <w:rFonts w:cstheme="minorHAnsi"/>
                <w:sz w:val="18"/>
                <w:szCs w:val="18"/>
              </w:rPr>
              <w:t xml:space="preserve"> warunkami </w:t>
            </w:r>
            <w:r w:rsidRPr="00806E7D">
              <w:rPr>
                <w:rFonts w:cstheme="minorHAnsi"/>
                <w:sz w:val="18"/>
                <w:szCs w:val="18"/>
              </w:rPr>
              <w:t>kwalifikowalności w "Wytycznych w zakresie kwalifikowalności…"</w:t>
            </w:r>
            <w:r w:rsidR="00E30BE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6F0338F" w14:textId="748200FC" w:rsidR="00E30BEF" w:rsidRDefault="00E30BEF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</w:t>
            </w:r>
            <w:r w:rsidR="007719AE">
              <w:rPr>
                <w:rFonts w:cstheme="minorHAnsi"/>
                <w:sz w:val="18"/>
                <w:szCs w:val="18"/>
              </w:rPr>
              <w:t>e lub faktyczne</w:t>
            </w:r>
            <w:r>
              <w:rPr>
                <w:rFonts w:cstheme="minorHAnsi"/>
                <w:sz w:val="18"/>
                <w:szCs w:val="18"/>
              </w:rPr>
              <w:t xml:space="preserve"> efekt</w:t>
            </w:r>
            <w:r w:rsidR="007719AE">
              <w:rPr>
                <w:rFonts w:cstheme="minorHAnsi"/>
                <w:sz w:val="18"/>
                <w:szCs w:val="18"/>
              </w:rPr>
              <w:t>y: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19AE">
              <w:rPr>
                <w:rFonts w:cstheme="minorHAnsi"/>
                <w:sz w:val="18"/>
                <w:szCs w:val="18"/>
              </w:rPr>
              <w:t>przyjęcie</w:t>
            </w:r>
            <w:r>
              <w:rPr>
                <w:rFonts w:cstheme="minorHAnsi"/>
                <w:sz w:val="18"/>
                <w:szCs w:val="18"/>
              </w:rPr>
              <w:t xml:space="preserve"> stanowiska NFZ. </w:t>
            </w:r>
            <w:r w:rsidR="007719AE" w:rsidRPr="00E30BEF">
              <w:rPr>
                <w:rFonts w:cstheme="minorHAnsi"/>
                <w:sz w:val="18"/>
                <w:szCs w:val="18"/>
              </w:rPr>
              <w:t xml:space="preserve">Ten sposób finansowania pracowników NFZ wchodzących w skład zespołu projektowego był przyjęty od początku realizacji projektu i dotychczas akceptowany, a uwagi zostały zgłoszone do 8 WOP.  Wyjaśnienia i stanowisko NFZ zostało przekazane do CPPC.  </w:t>
            </w:r>
          </w:p>
          <w:p w14:paraId="3A6CAE3F" w14:textId="6F06DFB4" w:rsidR="007719AE" w:rsidRPr="00E30BEF" w:rsidRDefault="007719AE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Zmiany w stosunku do poprzedniego okresu sprawozdawczego: </w:t>
            </w:r>
            <w:r w:rsidR="00DD6C22">
              <w:rPr>
                <w:rFonts w:cstheme="minorHAnsi"/>
                <w:sz w:val="18"/>
                <w:szCs w:val="18"/>
              </w:rPr>
              <w:t>nieaktywne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CE648D0" w14:textId="77777777" w:rsidR="00806E7D" w:rsidRDefault="00806E7D" w:rsidP="00806E7D">
            <w:pPr>
              <w:rPr>
                <w:rFonts w:cstheme="minorHAnsi"/>
                <w:sz w:val="18"/>
                <w:szCs w:val="18"/>
              </w:rPr>
            </w:pPr>
          </w:p>
          <w:p w14:paraId="61F7E356" w14:textId="77777777" w:rsidR="00E24E02" w:rsidRDefault="00E24E02" w:rsidP="00806E7D">
            <w:pPr>
              <w:rPr>
                <w:rFonts w:cstheme="minorHAnsi"/>
                <w:sz w:val="18"/>
                <w:szCs w:val="18"/>
              </w:rPr>
            </w:pPr>
          </w:p>
          <w:p w14:paraId="10C45465" w14:textId="77777777" w:rsidR="00DF76DE" w:rsidRDefault="00DF76DE" w:rsidP="00806E7D">
            <w:pPr>
              <w:rPr>
                <w:rFonts w:cstheme="minorHAnsi"/>
                <w:sz w:val="18"/>
                <w:szCs w:val="18"/>
              </w:rPr>
            </w:pPr>
          </w:p>
          <w:p w14:paraId="2CD9E7CF" w14:textId="77777777" w:rsidR="00501AFC" w:rsidRDefault="00501AFC" w:rsidP="00DF76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Przejście na pracę zdalną członków zespołu projektowego (MC i BL). </w:t>
            </w:r>
            <w:r w:rsidR="00DF76DE">
              <w:rPr>
                <w:rFonts w:cstheme="minorHAnsi"/>
                <w:sz w:val="18"/>
                <w:szCs w:val="18"/>
              </w:rPr>
              <w:t>Wystąpienie do CPPC o przesunięcie środków do projektu Otwarte dane plus.</w:t>
            </w:r>
          </w:p>
          <w:p w14:paraId="5CD9B1C5" w14:textId="77777777" w:rsidR="008C7213" w:rsidRPr="00E30BEF" w:rsidRDefault="008C7213" w:rsidP="008C721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Zmiany w stosunku do poprzedniego okresu sprawozdawczego: nieaktywne.</w:t>
            </w:r>
          </w:p>
          <w:p w14:paraId="71D876B3" w14:textId="77777777" w:rsidR="008C7213" w:rsidRDefault="008C7213" w:rsidP="00DF76DE">
            <w:pPr>
              <w:rPr>
                <w:rFonts w:cstheme="minorHAnsi"/>
                <w:sz w:val="18"/>
                <w:szCs w:val="18"/>
              </w:rPr>
            </w:pPr>
          </w:p>
          <w:p w14:paraId="1E9220CB" w14:textId="69B10437" w:rsidR="008C7213" w:rsidRPr="00324CA6" w:rsidRDefault="008C7213" w:rsidP="00DF76D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2DFDD71" w14:textId="15B62702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13EF9F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1382DF4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80932C1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ECF9C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536CFD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2D01357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05D8185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EBC6523" w14:textId="77777777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3C80A7FD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EB95832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779545A" w14:textId="77777777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A5C089" w14:textId="77777777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4A7A82F4" w14:textId="77777777" w:rsidR="00486D47" w:rsidRPr="00805178" w:rsidRDefault="00486D47" w:rsidP="00486D4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29BF61" w14:textId="58FEB26A" w:rsidR="0091332C" w:rsidRPr="00141A92" w:rsidRDefault="00486D47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329FD1EB" w14:textId="1937985B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</w:t>
      </w:r>
      <w:r w:rsidR="00052A20">
        <w:rPr>
          <w:rFonts w:cstheme="minorHAnsi"/>
          <w:sz w:val="24"/>
          <w:szCs w:val="24"/>
        </w:rPr>
        <w:t>DZD -</w:t>
      </w:r>
      <w:r w:rsidR="00346588" w:rsidRPr="00346588">
        <w:rPr>
          <w:rFonts w:cstheme="minorHAnsi"/>
          <w:sz w:val="24"/>
          <w:szCs w:val="24"/>
        </w:rPr>
        <w:t xml:space="preserve"> </w:t>
      </w:r>
      <w:hyperlink r:id="rId17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20787D">
        <w:rPr>
          <w:rFonts w:cstheme="minorHAnsi"/>
          <w:sz w:val="24"/>
          <w:szCs w:val="24"/>
        </w:rPr>
        <w:t xml:space="preserve">556 </w:t>
      </w:r>
      <w:r w:rsidR="0020787D" w:rsidRPr="00DF76DE">
        <w:rPr>
          <w:rFonts w:cstheme="minorHAnsi"/>
          <w:sz w:val="24"/>
          <w:szCs w:val="24"/>
        </w:rPr>
        <w:t>84 15</w:t>
      </w:r>
    </w:p>
    <w:sectPr w:rsidR="00BB059E" w:rsidRPr="00346588" w:rsidSect="001E1DEA">
      <w:footerReference w:type="default" r:id="rId1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9D539" w14:textId="77777777" w:rsidR="00163343" w:rsidRDefault="00163343" w:rsidP="00BB2420">
      <w:pPr>
        <w:spacing w:after="0" w:line="240" w:lineRule="auto"/>
      </w:pPr>
      <w:r>
        <w:separator/>
      </w:r>
    </w:p>
  </w:endnote>
  <w:endnote w:type="continuationSeparator" w:id="0">
    <w:p w14:paraId="5B646E46" w14:textId="77777777" w:rsidR="00163343" w:rsidRDefault="001633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B48B70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174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6656233F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7B5DD" w14:textId="77777777" w:rsidR="00163343" w:rsidRDefault="00163343" w:rsidP="00BB2420">
      <w:pPr>
        <w:spacing w:after="0" w:line="240" w:lineRule="auto"/>
      </w:pPr>
      <w:r>
        <w:separator/>
      </w:r>
    </w:p>
  </w:footnote>
  <w:footnote w:type="continuationSeparator" w:id="0">
    <w:p w14:paraId="62B2963B" w14:textId="77777777" w:rsidR="00163343" w:rsidRDefault="00163343" w:rsidP="00BB2420">
      <w:pPr>
        <w:spacing w:after="0" w:line="240" w:lineRule="auto"/>
      </w:pPr>
      <w:r>
        <w:continuationSeparator/>
      </w:r>
    </w:p>
  </w:footnote>
  <w:footnote w:id="1">
    <w:p w14:paraId="622D8FE6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40B20"/>
    <w:multiLevelType w:val="hybridMultilevel"/>
    <w:tmpl w:val="FDDE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11"/>
  </w:num>
  <w:num w:numId="5">
    <w:abstractNumId w:val="25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2"/>
  </w:num>
  <w:num w:numId="13">
    <w:abstractNumId w:val="17"/>
  </w:num>
  <w:num w:numId="14">
    <w:abstractNumId w:val="2"/>
  </w:num>
  <w:num w:numId="15">
    <w:abstractNumId w:val="26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7"/>
  </w:num>
  <w:num w:numId="21">
    <w:abstractNumId w:val="24"/>
  </w:num>
  <w:num w:numId="22">
    <w:abstractNumId w:val="6"/>
  </w:num>
  <w:num w:numId="23">
    <w:abstractNumId w:val="23"/>
  </w:num>
  <w:num w:numId="24">
    <w:abstractNumId w:val="0"/>
  </w:num>
  <w:num w:numId="25">
    <w:abstractNumId w:val="21"/>
  </w:num>
  <w:num w:numId="26">
    <w:abstractNumId w:val="20"/>
  </w:num>
  <w:num w:numId="27">
    <w:abstractNumId w:val="14"/>
  </w:num>
  <w:num w:numId="28">
    <w:abstractNumId w:val="13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5168"/>
    <w:rsid w:val="00006E59"/>
    <w:rsid w:val="00014792"/>
    <w:rsid w:val="00017727"/>
    <w:rsid w:val="0002556F"/>
    <w:rsid w:val="00026D1D"/>
    <w:rsid w:val="00027D5D"/>
    <w:rsid w:val="00034535"/>
    <w:rsid w:val="0003662E"/>
    <w:rsid w:val="00043DD9"/>
    <w:rsid w:val="00044D68"/>
    <w:rsid w:val="00047D9D"/>
    <w:rsid w:val="00052A20"/>
    <w:rsid w:val="00052BAC"/>
    <w:rsid w:val="000637EF"/>
    <w:rsid w:val="000667D7"/>
    <w:rsid w:val="00067C74"/>
    <w:rsid w:val="0007045A"/>
    <w:rsid w:val="00070663"/>
    <w:rsid w:val="00071D18"/>
    <w:rsid w:val="000736A0"/>
    <w:rsid w:val="000849A3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B4C3B"/>
    <w:rsid w:val="000C25B7"/>
    <w:rsid w:val="000D45A1"/>
    <w:rsid w:val="000D5345"/>
    <w:rsid w:val="000E0060"/>
    <w:rsid w:val="000E1828"/>
    <w:rsid w:val="000E4BF8"/>
    <w:rsid w:val="000F20A9"/>
    <w:rsid w:val="000F307B"/>
    <w:rsid w:val="000F30B9"/>
    <w:rsid w:val="000F6ACE"/>
    <w:rsid w:val="00100F17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513B4"/>
    <w:rsid w:val="00153D7E"/>
    <w:rsid w:val="00160915"/>
    <w:rsid w:val="00163076"/>
    <w:rsid w:val="00163343"/>
    <w:rsid w:val="00172400"/>
    <w:rsid w:val="00175619"/>
    <w:rsid w:val="00176FBB"/>
    <w:rsid w:val="00180F1F"/>
    <w:rsid w:val="00181E97"/>
    <w:rsid w:val="00182A08"/>
    <w:rsid w:val="00184A81"/>
    <w:rsid w:val="0019160D"/>
    <w:rsid w:val="001A278B"/>
    <w:rsid w:val="001A2EF2"/>
    <w:rsid w:val="001A4BB1"/>
    <w:rsid w:val="001C2D74"/>
    <w:rsid w:val="001C7FAC"/>
    <w:rsid w:val="001D37AA"/>
    <w:rsid w:val="001E0CAC"/>
    <w:rsid w:val="001E16A3"/>
    <w:rsid w:val="001E1DEA"/>
    <w:rsid w:val="001E36D2"/>
    <w:rsid w:val="001E424A"/>
    <w:rsid w:val="001E5474"/>
    <w:rsid w:val="001E7199"/>
    <w:rsid w:val="001F2115"/>
    <w:rsid w:val="001F24A0"/>
    <w:rsid w:val="001F67EC"/>
    <w:rsid w:val="0020330A"/>
    <w:rsid w:val="0020787D"/>
    <w:rsid w:val="00214400"/>
    <w:rsid w:val="00215611"/>
    <w:rsid w:val="0021617E"/>
    <w:rsid w:val="0022635B"/>
    <w:rsid w:val="00231434"/>
    <w:rsid w:val="00236E98"/>
    <w:rsid w:val="00237279"/>
    <w:rsid w:val="00240D69"/>
    <w:rsid w:val="00241B5E"/>
    <w:rsid w:val="00252087"/>
    <w:rsid w:val="002537E4"/>
    <w:rsid w:val="00255049"/>
    <w:rsid w:val="00261010"/>
    <w:rsid w:val="00263FB4"/>
    <w:rsid w:val="002728C6"/>
    <w:rsid w:val="00273D41"/>
    <w:rsid w:val="00276C00"/>
    <w:rsid w:val="00284D41"/>
    <w:rsid w:val="0029516E"/>
    <w:rsid w:val="002A3C02"/>
    <w:rsid w:val="002A5452"/>
    <w:rsid w:val="002A6031"/>
    <w:rsid w:val="002A6E32"/>
    <w:rsid w:val="002A7429"/>
    <w:rsid w:val="002A78E2"/>
    <w:rsid w:val="002B0FB4"/>
    <w:rsid w:val="002B161C"/>
    <w:rsid w:val="002B29D7"/>
    <w:rsid w:val="002B4889"/>
    <w:rsid w:val="002B50C0"/>
    <w:rsid w:val="002B6F21"/>
    <w:rsid w:val="002B76D3"/>
    <w:rsid w:val="002C387B"/>
    <w:rsid w:val="002C5797"/>
    <w:rsid w:val="002C5917"/>
    <w:rsid w:val="002D3D4A"/>
    <w:rsid w:val="002D63DF"/>
    <w:rsid w:val="002D67BF"/>
    <w:rsid w:val="002D69E6"/>
    <w:rsid w:val="002D7ADA"/>
    <w:rsid w:val="002E1E31"/>
    <w:rsid w:val="002E2C45"/>
    <w:rsid w:val="002E4CA2"/>
    <w:rsid w:val="002E5388"/>
    <w:rsid w:val="002F0066"/>
    <w:rsid w:val="002F0219"/>
    <w:rsid w:val="0030196F"/>
    <w:rsid w:val="00302775"/>
    <w:rsid w:val="00304D04"/>
    <w:rsid w:val="00310D8E"/>
    <w:rsid w:val="003149BA"/>
    <w:rsid w:val="003221F2"/>
    <w:rsid w:val="00322614"/>
    <w:rsid w:val="00324CA6"/>
    <w:rsid w:val="00325E8B"/>
    <w:rsid w:val="00326727"/>
    <w:rsid w:val="00327147"/>
    <w:rsid w:val="00334A24"/>
    <w:rsid w:val="003410FE"/>
    <w:rsid w:val="00346588"/>
    <w:rsid w:val="003508E7"/>
    <w:rsid w:val="00351661"/>
    <w:rsid w:val="00353A78"/>
    <w:rsid w:val="003542F1"/>
    <w:rsid w:val="00355CC0"/>
    <w:rsid w:val="00356A3E"/>
    <w:rsid w:val="0036030A"/>
    <w:rsid w:val="0036062E"/>
    <w:rsid w:val="003642B8"/>
    <w:rsid w:val="00374AE1"/>
    <w:rsid w:val="003774AD"/>
    <w:rsid w:val="00382046"/>
    <w:rsid w:val="003867D4"/>
    <w:rsid w:val="003A4115"/>
    <w:rsid w:val="003B4CF5"/>
    <w:rsid w:val="003B5B7A"/>
    <w:rsid w:val="003C5BB9"/>
    <w:rsid w:val="003C7325"/>
    <w:rsid w:val="003D7DD0"/>
    <w:rsid w:val="003E3144"/>
    <w:rsid w:val="003F034E"/>
    <w:rsid w:val="003F065A"/>
    <w:rsid w:val="003F2CBD"/>
    <w:rsid w:val="003F4A20"/>
    <w:rsid w:val="003F7528"/>
    <w:rsid w:val="00403AA7"/>
    <w:rsid w:val="00405EA4"/>
    <w:rsid w:val="00406366"/>
    <w:rsid w:val="0041034F"/>
    <w:rsid w:val="004118A3"/>
    <w:rsid w:val="0041326A"/>
    <w:rsid w:val="004202F8"/>
    <w:rsid w:val="00423A26"/>
    <w:rsid w:val="00425046"/>
    <w:rsid w:val="00425473"/>
    <w:rsid w:val="00425A6C"/>
    <w:rsid w:val="00426A87"/>
    <w:rsid w:val="00432547"/>
    <w:rsid w:val="00432984"/>
    <w:rsid w:val="004350B8"/>
    <w:rsid w:val="004376B1"/>
    <w:rsid w:val="00441400"/>
    <w:rsid w:val="00442FC8"/>
    <w:rsid w:val="00443358"/>
    <w:rsid w:val="00444AAB"/>
    <w:rsid w:val="00450089"/>
    <w:rsid w:val="00452FA3"/>
    <w:rsid w:val="00461AF1"/>
    <w:rsid w:val="0046501C"/>
    <w:rsid w:val="00477E7B"/>
    <w:rsid w:val="00481385"/>
    <w:rsid w:val="00481AA1"/>
    <w:rsid w:val="00486D47"/>
    <w:rsid w:val="0048718F"/>
    <w:rsid w:val="004A6D15"/>
    <w:rsid w:val="004B41A4"/>
    <w:rsid w:val="004C1D48"/>
    <w:rsid w:val="004C60E2"/>
    <w:rsid w:val="004C632F"/>
    <w:rsid w:val="004C7018"/>
    <w:rsid w:val="004C7129"/>
    <w:rsid w:val="004D1254"/>
    <w:rsid w:val="004D325B"/>
    <w:rsid w:val="004D65CA"/>
    <w:rsid w:val="004E1D0C"/>
    <w:rsid w:val="004E7B4A"/>
    <w:rsid w:val="004F3C81"/>
    <w:rsid w:val="004F48F5"/>
    <w:rsid w:val="004F5EEA"/>
    <w:rsid w:val="004F6E89"/>
    <w:rsid w:val="00501AFC"/>
    <w:rsid w:val="00517F12"/>
    <w:rsid w:val="0052102C"/>
    <w:rsid w:val="005222C8"/>
    <w:rsid w:val="00524E6C"/>
    <w:rsid w:val="00531624"/>
    <w:rsid w:val="005332D6"/>
    <w:rsid w:val="005332D7"/>
    <w:rsid w:val="0054118C"/>
    <w:rsid w:val="00541C34"/>
    <w:rsid w:val="00544DFE"/>
    <w:rsid w:val="00550E2F"/>
    <w:rsid w:val="005600F0"/>
    <w:rsid w:val="005734CE"/>
    <w:rsid w:val="005823BA"/>
    <w:rsid w:val="005842E9"/>
    <w:rsid w:val="005852A3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419A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3BE0"/>
    <w:rsid w:val="00603D24"/>
    <w:rsid w:val="006054AA"/>
    <w:rsid w:val="0062054D"/>
    <w:rsid w:val="00625C5C"/>
    <w:rsid w:val="00630B12"/>
    <w:rsid w:val="006334BF"/>
    <w:rsid w:val="00635A54"/>
    <w:rsid w:val="0064092A"/>
    <w:rsid w:val="00650D08"/>
    <w:rsid w:val="006529B2"/>
    <w:rsid w:val="00661A62"/>
    <w:rsid w:val="006638E3"/>
    <w:rsid w:val="00665A1A"/>
    <w:rsid w:val="00670AA5"/>
    <w:rsid w:val="006731D9"/>
    <w:rsid w:val="0067362A"/>
    <w:rsid w:val="006822BC"/>
    <w:rsid w:val="00691154"/>
    <w:rsid w:val="00695939"/>
    <w:rsid w:val="006A31AF"/>
    <w:rsid w:val="006A4609"/>
    <w:rsid w:val="006A60AA"/>
    <w:rsid w:val="006B034F"/>
    <w:rsid w:val="006B5117"/>
    <w:rsid w:val="006B5280"/>
    <w:rsid w:val="006E0CFA"/>
    <w:rsid w:val="006E3820"/>
    <w:rsid w:val="006E6205"/>
    <w:rsid w:val="006F3013"/>
    <w:rsid w:val="006F4DEF"/>
    <w:rsid w:val="006F55B0"/>
    <w:rsid w:val="0070034F"/>
    <w:rsid w:val="00701800"/>
    <w:rsid w:val="0070255B"/>
    <w:rsid w:val="00706C98"/>
    <w:rsid w:val="007133E0"/>
    <w:rsid w:val="00714463"/>
    <w:rsid w:val="0072454C"/>
    <w:rsid w:val="00725708"/>
    <w:rsid w:val="00733F64"/>
    <w:rsid w:val="00740A47"/>
    <w:rsid w:val="00741A29"/>
    <w:rsid w:val="00742FBF"/>
    <w:rsid w:val="007465FD"/>
    <w:rsid w:val="00746ABD"/>
    <w:rsid w:val="00751D57"/>
    <w:rsid w:val="007571FA"/>
    <w:rsid w:val="00757800"/>
    <w:rsid w:val="0076015A"/>
    <w:rsid w:val="00760C43"/>
    <w:rsid w:val="00760CE8"/>
    <w:rsid w:val="007651C1"/>
    <w:rsid w:val="00765478"/>
    <w:rsid w:val="007719AE"/>
    <w:rsid w:val="0077418F"/>
    <w:rsid w:val="00775C44"/>
    <w:rsid w:val="007846EB"/>
    <w:rsid w:val="00786B42"/>
    <w:rsid w:val="00790781"/>
    <w:rsid w:val="007924CE"/>
    <w:rsid w:val="00794F80"/>
    <w:rsid w:val="00795AFA"/>
    <w:rsid w:val="007A12F1"/>
    <w:rsid w:val="007A30FA"/>
    <w:rsid w:val="007A4742"/>
    <w:rsid w:val="007A6D43"/>
    <w:rsid w:val="007A79AE"/>
    <w:rsid w:val="007B0251"/>
    <w:rsid w:val="007B29E5"/>
    <w:rsid w:val="007B3527"/>
    <w:rsid w:val="007B459D"/>
    <w:rsid w:val="007B69E0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277E"/>
    <w:rsid w:val="00806134"/>
    <w:rsid w:val="00806E7D"/>
    <w:rsid w:val="008149D7"/>
    <w:rsid w:val="00830B70"/>
    <w:rsid w:val="0084059D"/>
    <w:rsid w:val="00840749"/>
    <w:rsid w:val="0087452F"/>
    <w:rsid w:val="00875528"/>
    <w:rsid w:val="00884686"/>
    <w:rsid w:val="00884FE3"/>
    <w:rsid w:val="008876D4"/>
    <w:rsid w:val="00891ECF"/>
    <w:rsid w:val="008A332F"/>
    <w:rsid w:val="008A3D79"/>
    <w:rsid w:val="008A52F6"/>
    <w:rsid w:val="008A7961"/>
    <w:rsid w:val="008B1658"/>
    <w:rsid w:val="008B68C6"/>
    <w:rsid w:val="008B749A"/>
    <w:rsid w:val="008C4BCD"/>
    <w:rsid w:val="008C6721"/>
    <w:rsid w:val="008C7213"/>
    <w:rsid w:val="008D03D6"/>
    <w:rsid w:val="008D3826"/>
    <w:rsid w:val="008D5542"/>
    <w:rsid w:val="008D7D73"/>
    <w:rsid w:val="008F0F90"/>
    <w:rsid w:val="008F2D9B"/>
    <w:rsid w:val="00900D83"/>
    <w:rsid w:val="0090106B"/>
    <w:rsid w:val="00907F6D"/>
    <w:rsid w:val="00911190"/>
    <w:rsid w:val="0091332C"/>
    <w:rsid w:val="00916199"/>
    <w:rsid w:val="009238F7"/>
    <w:rsid w:val="009256F2"/>
    <w:rsid w:val="00930ECA"/>
    <w:rsid w:val="00933BEC"/>
    <w:rsid w:val="00935EB3"/>
    <w:rsid w:val="00936729"/>
    <w:rsid w:val="00947606"/>
    <w:rsid w:val="0095082A"/>
    <w:rsid w:val="0095183B"/>
    <w:rsid w:val="00952126"/>
    <w:rsid w:val="00952617"/>
    <w:rsid w:val="00952E7B"/>
    <w:rsid w:val="009620A9"/>
    <w:rsid w:val="00962C51"/>
    <w:rsid w:val="00965300"/>
    <w:rsid w:val="00965521"/>
    <w:rsid w:val="009663A6"/>
    <w:rsid w:val="00971A40"/>
    <w:rsid w:val="00976434"/>
    <w:rsid w:val="00976E05"/>
    <w:rsid w:val="00983437"/>
    <w:rsid w:val="0098715E"/>
    <w:rsid w:val="00990795"/>
    <w:rsid w:val="00991FC9"/>
    <w:rsid w:val="00992EA3"/>
    <w:rsid w:val="009967CA"/>
    <w:rsid w:val="009A17FF"/>
    <w:rsid w:val="009A63CE"/>
    <w:rsid w:val="009B4423"/>
    <w:rsid w:val="009B78E7"/>
    <w:rsid w:val="009C17B1"/>
    <w:rsid w:val="009C57A8"/>
    <w:rsid w:val="009C6140"/>
    <w:rsid w:val="009D07F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5D40"/>
    <w:rsid w:val="009F661C"/>
    <w:rsid w:val="00A0133B"/>
    <w:rsid w:val="00A01382"/>
    <w:rsid w:val="00A013A5"/>
    <w:rsid w:val="00A048E4"/>
    <w:rsid w:val="00A11788"/>
    <w:rsid w:val="00A15290"/>
    <w:rsid w:val="00A162E3"/>
    <w:rsid w:val="00A16C12"/>
    <w:rsid w:val="00A25C05"/>
    <w:rsid w:val="00A30847"/>
    <w:rsid w:val="00A3302D"/>
    <w:rsid w:val="00A36023"/>
    <w:rsid w:val="00A36AE2"/>
    <w:rsid w:val="00A371B4"/>
    <w:rsid w:val="00A43E49"/>
    <w:rsid w:val="00A43F2D"/>
    <w:rsid w:val="00A44B8B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0F26"/>
    <w:rsid w:val="00AB2258"/>
    <w:rsid w:val="00AB2E01"/>
    <w:rsid w:val="00AC03FD"/>
    <w:rsid w:val="00AC1FBE"/>
    <w:rsid w:val="00AC7E26"/>
    <w:rsid w:val="00AD45BB"/>
    <w:rsid w:val="00AD7F2E"/>
    <w:rsid w:val="00AE1643"/>
    <w:rsid w:val="00AE3A6C"/>
    <w:rsid w:val="00AE6C5F"/>
    <w:rsid w:val="00AF09B8"/>
    <w:rsid w:val="00AF19B8"/>
    <w:rsid w:val="00AF567D"/>
    <w:rsid w:val="00B05AF4"/>
    <w:rsid w:val="00B15504"/>
    <w:rsid w:val="00B160DF"/>
    <w:rsid w:val="00B17709"/>
    <w:rsid w:val="00B25720"/>
    <w:rsid w:val="00B32214"/>
    <w:rsid w:val="00B410E2"/>
    <w:rsid w:val="00B41415"/>
    <w:rsid w:val="00B440C3"/>
    <w:rsid w:val="00B50560"/>
    <w:rsid w:val="00B60F16"/>
    <w:rsid w:val="00B613E9"/>
    <w:rsid w:val="00B64AEE"/>
    <w:rsid w:val="00B64B3C"/>
    <w:rsid w:val="00B652E1"/>
    <w:rsid w:val="00B673C6"/>
    <w:rsid w:val="00B67B77"/>
    <w:rsid w:val="00B74859"/>
    <w:rsid w:val="00B83950"/>
    <w:rsid w:val="00B87D3D"/>
    <w:rsid w:val="00B9117E"/>
    <w:rsid w:val="00B972F8"/>
    <w:rsid w:val="00BA347A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033F"/>
    <w:rsid w:val="00BF40D9"/>
    <w:rsid w:val="00BF5ACB"/>
    <w:rsid w:val="00C0077E"/>
    <w:rsid w:val="00C10D56"/>
    <w:rsid w:val="00C1106C"/>
    <w:rsid w:val="00C1123D"/>
    <w:rsid w:val="00C1699A"/>
    <w:rsid w:val="00C20479"/>
    <w:rsid w:val="00C212EA"/>
    <w:rsid w:val="00C23C0F"/>
    <w:rsid w:val="00C26361"/>
    <w:rsid w:val="00C27A84"/>
    <w:rsid w:val="00C302F1"/>
    <w:rsid w:val="00C31740"/>
    <w:rsid w:val="00C33C18"/>
    <w:rsid w:val="00C34B98"/>
    <w:rsid w:val="00C42AEA"/>
    <w:rsid w:val="00C448CF"/>
    <w:rsid w:val="00C4506D"/>
    <w:rsid w:val="00C46D86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D3477"/>
    <w:rsid w:val="00CE1C4F"/>
    <w:rsid w:val="00CE2EC8"/>
    <w:rsid w:val="00CE5118"/>
    <w:rsid w:val="00CE74F9"/>
    <w:rsid w:val="00CE7777"/>
    <w:rsid w:val="00CF0354"/>
    <w:rsid w:val="00CF2E64"/>
    <w:rsid w:val="00CF6F91"/>
    <w:rsid w:val="00CF746A"/>
    <w:rsid w:val="00D145A8"/>
    <w:rsid w:val="00D15094"/>
    <w:rsid w:val="00D25CFE"/>
    <w:rsid w:val="00D27AC0"/>
    <w:rsid w:val="00D30696"/>
    <w:rsid w:val="00D41CAB"/>
    <w:rsid w:val="00D430D8"/>
    <w:rsid w:val="00D455D6"/>
    <w:rsid w:val="00D4607F"/>
    <w:rsid w:val="00D57025"/>
    <w:rsid w:val="00D57765"/>
    <w:rsid w:val="00D6672F"/>
    <w:rsid w:val="00D76179"/>
    <w:rsid w:val="00D77F50"/>
    <w:rsid w:val="00D81FB4"/>
    <w:rsid w:val="00D84A8B"/>
    <w:rsid w:val="00D859F4"/>
    <w:rsid w:val="00D85A52"/>
    <w:rsid w:val="00D85DC1"/>
    <w:rsid w:val="00D86FEC"/>
    <w:rsid w:val="00D87FA8"/>
    <w:rsid w:val="00D92B73"/>
    <w:rsid w:val="00D96110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D33D0"/>
    <w:rsid w:val="00DD6C22"/>
    <w:rsid w:val="00DE0051"/>
    <w:rsid w:val="00DE16A9"/>
    <w:rsid w:val="00DE6249"/>
    <w:rsid w:val="00DE731D"/>
    <w:rsid w:val="00DF15BF"/>
    <w:rsid w:val="00DF7088"/>
    <w:rsid w:val="00DF76DE"/>
    <w:rsid w:val="00E0076D"/>
    <w:rsid w:val="00E008E1"/>
    <w:rsid w:val="00E06201"/>
    <w:rsid w:val="00E11B44"/>
    <w:rsid w:val="00E137A2"/>
    <w:rsid w:val="00E15DEB"/>
    <w:rsid w:val="00E1688D"/>
    <w:rsid w:val="00E203EB"/>
    <w:rsid w:val="00E20C50"/>
    <w:rsid w:val="00E2234B"/>
    <w:rsid w:val="00E24E02"/>
    <w:rsid w:val="00E2532A"/>
    <w:rsid w:val="00E26205"/>
    <w:rsid w:val="00E30BEF"/>
    <w:rsid w:val="00E353DF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C324B"/>
    <w:rsid w:val="00ED1199"/>
    <w:rsid w:val="00ED125E"/>
    <w:rsid w:val="00EF1986"/>
    <w:rsid w:val="00F00616"/>
    <w:rsid w:val="00F066E2"/>
    <w:rsid w:val="00F11B55"/>
    <w:rsid w:val="00F11C18"/>
    <w:rsid w:val="00F138F7"/>
    <w:rsid w:val="00F14A5A"/>
    <w:rsid w:val="00F2008A"/>
    <w:rsid w:val="00F20B65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17E3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5CF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51D5F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3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5DC1"/>
    <w:pPr>
      <w:spacing w:after="0" w:line="240" w:lineRule="auto"/>
    </w:pPr>
  </w:style>
  <w:style w:type="paragraph" w:customStyle="1" w:styleId="Default">
    <w:name w:val="Default"/>
    <w:rsid w:val="007B69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13" Type="http://schemas.openxmlformats.org/officeDocument/2006/relationships/hyperlink" Target="https://dane.gov.pl/dataset/1601,api-statystyki%C2%A0nfz-%E2%80%93-refundacja-apteczn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ne.gov.pl/dataset/1558,api-dla-bazy-centralnej-ewidencji-pojazdow-i-kierowcow-cepik" TargetMode="External"/><Relationship Id="rId17" Type="http://schemas.openxmlformats.org/officeDocument/2006/relationships/hyperlink" Target="mailto:Edyta.Kruza@mc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ane.gov.pl/dataset/1734,api-umowy-nf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ne.gov.pl/dataset/1519,api-statystyki-nfz-swiadczenia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ane.gov.pl/dataset/1682,api-statystyki-nfz-leki-w-chemioterapii" TargetMode="External"/><Relationship Id="rId23" Type="http://schemas.microsoft.com/office/2016/09/relationships/commentsIds" Target="commentsIds.xml"/><Relationship Id="rId10" Type="http://schemas.openxmlformats.org/officeDocument/2006/relationships/hyperlink" Target="https://dane.gov.pl/dataset/1490,dostep-do-bazy-danych-systemu-best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ne.gov.pl/dataset/1455,informator-o-terminach-leczenia" TargetMode="External"/><Relationship Id="rId14" Type="http://schemas.openxmlformats.org/officeDocument/2006/relationships/hyperlink" Target="https://dane.gov.pl/dataset/1676,api-statystyka-programy-lek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A6E9-A3EB-4E45-B52F-46EEA7DC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1667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2020-07-08T18:21:00Z</dcterms:created>
  <dcterms:modified xsi:type="dcterms:W3CDTF">2020-07-09T10:51:00Z</dcterms:modified>
</cp:coreProperties>
</file>